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60" w:lineRule="auto"/>
        <w:ind w:left="1320" w:leftChars="0" w:right="104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  <w:t>中国机械总院集团青岛分院有限公司2025年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60" w:lineRule="auto"/>
        <w:ind w:left="1320" w:leftChars="0" w:right="104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  <w:t>通用低速无人驾驶零部件合格供应商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360" w:lineRule="auto"/>
        <w:ind w:left="1320" w:leftChars="0" w:right="104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105"/>
          <w:sz w:val="28"/>
          <w:szCs w:val="28"/>
        </w:rPr>
        <w:t>入围征集招标公告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right="125" w:firstLine="628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中国机械总院集团青岛分院有限公司根据采购工作安排，就下述项目组织国内公开招标，现诚邀符合资格要求的潜在投标人参加本项目投标。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标段（包）名称：中国机械总院集团青岛分院有限公司2025年度通用低速无人驾驶零部件合格供应商入围征集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、采购方式：公开招标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、招标人：中国机械总院集团青岛分院有限公司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、项目概况：为进一步提高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中国机械总院集团青岛分院有限公司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采购工作的效率，保证供应商入围选择的科学性、客观性和准确性，体现“公平、公正、公开”的原则，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中国机械总院集团青岛分院有限公司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决定对2025年度通用低速无人驾驶零部件合格供应商的入围征集进行公开招标。入围单位可以参加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中国机械总院集团青岛分院有限公司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通用低速无人驾驶零部件的采购活动（不含公开招标）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未入围单位不允许参与上述不含公开招标的采购活动。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default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、招标货物主要技术规格要求：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详见招标文件第四章。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、招标货物交货期（工期）要求：货物交货期以实际合同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约定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 xml:space="preserve">为准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right="125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、招标货物交付地点：中国境内，货物交付地点以实际采购合同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约定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 xml:space="preserve">为准。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 xml:space="preserve">、对投标人的资格要求：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1.资质要求：投标人须是在中华人民共和国境内依法注册的低速无人驾驶零部件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（提供有效的营业执照/单位法人证书）。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2.业绩要求：投标人自2020年1月1日（含）至今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的通用低速无人驾驶零部件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供货业绩（提供业绩合同证明，合同包括但不限于合同首页、项目名称、设备规格、供货数量、签字盖章页等内容，业绩时间以合同签署时间为准，总公司或其全国范围内任何分支机构业绩均认可）。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556" w:leftChars="0" w:right="0" w:hanging="556" w:hanging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instrText xml:space="preserve"> HYPERLINK "http://www.creditchina.gov.cn/)%E5%88%97%E5%85%A5%E5%A4%B1%E4%BF%A1%E8%A2%AB%E6%89%A7%E8%A1%8C%E4%BA%BA%E5%90%8D%E5%8D%95" \h </w:instrTex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.信誉要求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投标人未被（http://www.creditchina.gov.cn/)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信用中国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列入失信被执行人名单。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.其他要求：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.1单位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法人代表或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负责人为同一人或者存在控股、管理关系的不同单位，不得参加本项目投标。否则，相关投标均无效。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2分支机构参加投标的，须提供总公司针对本项目投标的唯一授权书（授权书格式自拟，总公司仅能授权其一个分支机构参加本项目投标），如分支机构入围，最终入围单位为总公司，分支机构仅作为投标人参与本项目投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是否允许联合体投标：本标段不接受联合体投标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十、资格审查方式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资格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审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、招标文件的获取：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（1）招标文件获取截止时间：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详见招标文件。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（2）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instrText xml:space="preserve"> HYPERLINK "http://www.ebidding.cecep.cn/" \h </w:instrTex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招标文件获取方式：通过中国机械总院集团青岛分院有限公司（https://www.cam.com.cn/camqd/index.html）选择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本项目，直接下载招标文件。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十二、投标文件的递交：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日止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十三、开标时间（暨投标截止时间）及地点：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（1）开标时间：202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日 09时00分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instrText xml:space="preserve"> HYPERLINK "http://www.ebidding.cecep.cn/" \h </w:instrTex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开标地点：中国机械总院集团青岛分院有限公司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（青岛胶州经济技术开发区汇英街南首）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instrText xml:space="preserve"> HYPERLINK "http://www.ebidding.cecep.cn/" \h </w:instrTex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公告发布媒介：本招标公告通过中国机械总院集团青岛分院有限公司（https://www.cam.com.cn/camqd/index.html ）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instrText xml:space="preserve"> HYPERLINK "http://www.cebpubservice.com/" \h </w:instrTex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对外公开发布。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十五、联系方式：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单位地址：青岛胶州经济技术开发区汇英街南首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电话：0532-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58923301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right="125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646" w:leftChars="0" w:right="125" w:hanging="64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sectPr>
          <w:pgSz w:w="11900" w:h="16840"/>
          <w:pgMar w:top="1440" w:right="1740" w:bottom="1440" w:left="180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0" w:afterLines="50" w:line="360" w:lineRule="auto"/>
        <w:ind w:left="106" w:leftChars="0" w:right="125" w:hanging="106" w:firstLineChars="0"/>
        <w:textAlignment w:val="auto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</w:p>
    <w:sectPr>
      <w:type w:val="continuous"/>
      <w:pgSz w:w="11900" w:h="16840"/>
      <w:pgMar w:top="420" w:right="380" w:bottom="280" w:left="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TAzNTkwMjQxMzE1MmI5MjE3MzlhM2ZkNTE0MTUifQ=="/>
    <w:docVar w:name="KSO_WPS_MARK_KEY" w:val="40d3eb42-5182-4b16-8fc2-13c24e6cce12"/>
  </w:docVars>
  <w:rsids>
    <w:rsidRoot w:val="00000000"/>
    <w:rsid w:val="014F5AAC"/>
    <w:rsid w:val="025106A8"/>
    <w:rsid w:val="0E162660"/>
    <w:rsid w:val="15B4328D"/>
    <w:rsid w:val="19D46F56"/>
    <w:rsid w:val="1B423724"/>
    <w:rsid w:val="1EEB6E83"/>
    <w:rsid w:val="20B56A8F"/>
    <w:rsid w:val="21661D16"/>
    <w:rsid w:val="27BF4A71"/>
    <w:rsid w:val="28426314"/>
    <w:rsid w:val="2DE01343"/>
    <w:rsid w:val="383D63ED"/>
    <w:rsid w:val="3A087594"/>
    <w:rsid w:val="4A8561FD"/>
    <w:rsid w:val="4B553BDD"/>
    <w:rsid w:val="4DA67E0B"/>
    <w:rsid w:val="52B10496"/>
    <w:rsid w:val="53C438F2"/>
    <w:rsid w:val="561B7047"/>
    <w:rsid w:val="564B1345"/>
    <w:rsid w:val="59C2373E"/>
    <w:rsid w:val="5A150D5F"/>
    <w:rsid w:val="60D453AD"/>
    <w:rsid w:val="67244EC7"/>
    <w:rsid w:val="75FE7AC7"/>
    <w:rsid w:val="78545F6B"/>
    <w:rsid w:val="7D567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23"/>
      <w:ind w:left="931" w:hanging="522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1166</Words>
  <Characters>1313</Characters>
  <TotalTime>0</TotalTime>
  <ScaleCrop>false</ScaleCrop>
  <LinksUpToDate>false</LinksUpToDate>
  <CharactersWithSpaces>1391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2024-11-28T02:41:00Z</dcterms:created>
  <dc:creator>iebu</dc:creator>
  <cp:lastModifiedBy>李晴</cp:lastModifiedBy>
  <cp:lastPrinted>2024-11-28T06:45:00Z</cp:lastPrinted>
  <dcterms:modified xsi:type="dcterms:W3CDTF">2025-02-12T01:57:44Z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568A0F0BDB524F89A6D14BD73EC520E1_13</vt:lpwstr>
  </property>
  <property fmtid="{D5CDD505-2E9C-101B-9397-08002B2CF9AE}" pid="4" name="KSOTemplateDocerSaveRecord">
    <vt:lpwstr>eyJoZGlkIjoiMWY5M2RhYmFmNzdkNjZmNjJlYTE4M2I4MTBlMTIzZDkifQ==</vt:lpwstr>
  </property>
</Properties>
</file>