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48F47">
      <w:pPr>
        <w:spacing w:line="278" w:lineRule="auto"/>
        <w:rPr>
          <w:rFonts w:hint="eastAsia" w:ascii="宋体" w:hAnsi="宋体" w:eastAsia="宋体" w:cs="宋体"/>
        </w:rPr>
      </w:pPr>
    </w:p>
    <w:p w14:paraId="244239FC">
      <w:pPr>
        <w:spacing w:line="278" w:lineRule="auto"/>
        <w:rPr>
          <w:rFonts w:hint="eastAsia" w:ascii="宋体" w:hAnsi="宋体" w:eastAsia="宋体" w:cs="宋体"/>
        </w:rPr>
      </w:pPr>
    </w:p>
    <w:p w14:paraId="26199007">
      <w:pPr>
        <w:tabs>
          <w:tab w:val="left" w:pos="5882"/>
        </w:tabs>
        <w:spacing w:before="169" w:line="185" w:lineRule="auto"/>
        <w:jc w:val="center"/>
        <w:outlineLvl w:val="9"/>
        <w:rPr>
          <w:rFonts w:hint="eastAsia" w:ascii="宋体" w:hAnsi="宋体" w:eastAsia="宋体" w:cs="宋体"/>
          <w:color w:val="auto"/>
          <w:sz w:val="52"/>
          <w:szCs w:val="52"/>
          <w:u w:val="single"/>
          <w:lang w:val="en-US" w:eastAsia="zh-CN"/>
        </w:rPr>
      </w:pPr>
      <w:bookmarkStart w:id="0" w:name="_Toc16784"/>
      <w:bookmarkStart w:id="1" w:name="_Toc11471"/>
    </w:p>
    <w:p w14:paraId="39AAA25E">
      <w:pPr>
        <w:tabs>
          <w:tab w:val="left" w:pos="5882"/>
        </w:tabs>
        <w:spacing w:before="169" w:line="185" w:lineRule="auto"/>
        <w:jc w:val="center"/>
        <w:outlineLvl w:val="9"/>
        <w:rPr>
          <w:rFonts w:hint="eastAsia" w:ascii="宋体" w:hAnsi="宋体" w:eastAsia="宋体" w:cs="宋体"/>
          <w:spacing w:val="-3"/>
          <w:sz w:val="52"/>
          <w:szCs w:val="52"/>
        </w:rPr>
      </w:pPr>
      <w:bookmarkStart w:id="2" w:name="_Toc988"/>
      <w:r>
        <w:rPr>
          <w:rFonts w:hint="eastAsia" w:ascii="宋体" w:hAnsi="宋体" w:eastAsia="宋体" w:cs="宋体"/>
          <w:spacing w:val="-3"/>
          <w:sz w:val="52"/>
          <w:szCs w:val="52"/>
          <w:u w:val="single"/>
          <w:lang w:val="en-US" w:eastAsia="zh-CN"/>
        </w:rPr>
        <w:t>真空设备部件</w:t>
      </w:r>
      <w:r>
        <w:rPr>
          <w:rFonts w:hint="eastAsia" w:ascii="宋体" w:hAnsi="宋体" w:eastAsia="宋体" w:cs="宋体"/>
          <w:spacing w:val="-3"/>
          <w:sz w:val="52"/>
          <w:szCs w:val="52"/>
        </w:rPr>
        <w:t>采购项目</w:t>
      </w:r>
      <w:bookmarkEnd w:id="0"/>
      <w:bookmarkEnd w:id="1"/>
      <w:bookmarkEnd w:id="2"/>
    </w:p>
    <w:p w14:paraId="3AEF8501">
      <w:pPr>
        <w:tabs>
          <w:tab w:val="left" w:pos="5882"/>
        </w:tabs>
        <w:spacing w:before="169" w:line="185" w:lineRule="auto"/>
        <w:ind w:firstLine="1040"/>
        <w:jc w:val="center"/>
        <w:outlineLvl w:val="9"/>
        <w:rPr>
          <w:rFonts w:hint="eastAsia" w:ascii="宋体" w:hAnsi="宋体" w:eastAsia="宋体" w:cs="宋体"/>
          <w:spacing w:val="-3"/>
          <w:sz w:val="52"/>
          <w:szCs w:val="52"/>
        </w:rPr>
      </w:pPr>
    </w:p>
    <w:p w14:paraId="37A88FDC">
      <w:pPr>
        <w:spacing w:line="248" w:lineRule="auto"/>
        <w:rPr>
          <w:rFonts w:hint="eastAsia" w:ascii="宋体" w:hAnsi="宋体" w:eastAsia="宋体" w:cs="宋体"/>
        </w:rPr>
      </w:pPr>
    </w:p>
    <w:p w14:paraId="17B4C460">
      <w:pPr>
        <w:spacing w:line="248" w:lineRule="auto"/>
        <w:rPr>
          <w:rFonts w:hint="eastAsia" w:ascii="宋体" w:hAnsi="宋体" w:eastAsia="宋体" w:cs="宋体"/>
        </w:rPr>
      </w:pPr>
    </w:p>
    <w:p w14:paraId="2CC8832C">
      <w:pPr>
        <w:spacing w:line="248" w:lineRule="auto"/>
        <w:jc w:val="center"/>
        <w:rPr>
          <w:rFonts w:hint="default" w:ascii="宋体" w:hAnsi="宋体" w:eastAsia="宋体" w:cs="宋体"/>
          <w:lang w:val="en-US" w:eastAsia="zh-CN"/>
        </w:rPr>
      </w:pPr>
      <w:bookmarkStart w:id="3" w:name="_Toc5886"/>
      <w:r>
        <w:rPr>
          <w:rFonts w:hint="eastAsia" w:ascii="宋体" w:hAnsi="宋体" w:eastAsia="宋体" w:cs="宋体"/>
          <w:spacing w:val="-2"/>
          <w:sz w:val="52"/>
          <w:szCs w:val="52"/>
          <w14:textOutline w14:w="5092" w14:cap="flat" w14:cmpd="sng" w14:algn="ctr">
            <w14:solidFill>
              <w14:srgbClr w14:val="000000"/>
            </w14:solidFill>
            <w14:prstDash w14:val="solid"/>
            <w14:miter w14:val="0"/>
          </w14:textOutline>
        </w:rPr>
        <w:t>招标文件编号</w:t>
      </w:r>
      <w:r>
        <w:rPr>
          <w:rFonts w:hint="eastAsia" w:ascii="宋体" w:hAnsi="宋体" w:eastAsia="宋体" w:cs="宋体"/>
          <w:spacing w:val="-2"/>
          <w:sz w:val="52"/>
          <w:szCs w:val="52"/>
        </w:rPr>
        <w:t>：</w:t>
      </w:r>
      <w:bookmarkEnd w:id="3"/>
      <w:r>
        <w:rPr>
          <w:rFonts w:hint="eastAsia" w:ascii="宋体" w:hAnsi="宋体" w:eastAsia="宋体" w:cs="宋体"/>
          <w:spacing w:val="-2"/>
          <w:sz w:val="52"/>
          <w:szCs w:val="52"/>
          <w:lang w:val="en-US" w:eastAsia="zh-CN"/>
        </w:rPr>
        <w:t>HXZB2026082001</w:t>
      </w:r>
    </w:p>
    <w:p w14:paraId="7BB90D44">
      <w:pPr>
        <w:spacing w:line="248" w:lineRule="auto"/>
        <w:rPr>
          <w:rFonts w:hint="eastAsia" w:ascii="宋体" w:hAnsi="宋体" w:eastAsia="宋体" w:cs="宋体"/>
        </w:rPr>
      </w:pPr>
    </w:p>
    <w:p w14:paraId="72791A66">
      <w:pPr>
        <w:spacing w:line="248" w:lineRule="auto"/>
        <w:rPr>
          <w:rFonts w:hint="eastAsia" w:ascii="宋体" w:hAnsi="宋体" w:eastAsia="宋体" w:cs="宋体"/>
        </w:rPr>
      </w:pPr>
    </w:p>
    <w:p w14:paraId="25ADB838">
      <w:pPr>
        <w:spacing w:line="249" w:lineRule="auto"/>
        <w:rPr>
          <w:rFonts w:hint="eastAsia" w:ascii="宋体" w:hAnsi="宋体" w:eastAsia="宋体" w:cs="宋体"/>
        </w:rPr>
      </w:pPr>
    </w:p>
    <w:p w14:paraId="1DAB54E0">
      <w:pPr>
        <w:tabs>
          <w:tab w:val="left" w:pos="8063"/>
        </w:tabs>
        <w:spacing w:line="249" w:lineRule="auto"/>
        <w:rPr>
          <w:rFonts w:hint="eastAsia" w:ascii="宋体" w:hAnsi="宋体" w:eastAsia="宋体" w:cs="宋体"/>
          <w:lang w:eastAsia="zh-CN"/>
        </w:rPr>
      </w:pPr>
      <w:r>
        <w:rPr>
          <w:rFonts w:hint="eastAsia" w:ascii="宋体" w:hAnsi="宋体" w:eastAsia="宋体" w:cs="宋体"/>
          <w:lang w:eastAsia="zh-CN"/>
        </w:rPr>
        <w:tab/>
      </w:r>
    </w:p>
    <w:p w14:paraId="55B5DFB7">
      <w:pPr>
        <w:spacing w:before="274" w:line="185" w:lineRule="auto"/>
        <w:jc w:val="center"/>
        <w:outlineLvl w:val="9"/>
        <w:rPr>
          <w:rFonts w:hint="eastAsia" w:ascii="宋体" w:hAnsi="宋体" w:eastAsia="宋体" w:cs="宋体"/>
          <w:sz w:val="84"/>
          <w:szCs w:val="84"/>
        </w:rPr>
      </w:pPr>
      <w:bookmarkStart w:id="4" w:name="_Toc29723"/>
      <w:bookmarkStart w:id="5" w:name="_Toc13557"/>
      <w:bookmarkStart w:id="6" w:name="_Toc7773"/>
      <w:r>
        <w:rPr>
          <w:rFonts w:hint="eastAsia" w:ascii="宋体" w:hAnsi="宋体" w:eastAsia="宋体" w:cs="宋体"/>
          <w:spacing w:val="-28"/>
          <w:sz w:val="84"/>
          <w:szCs w:val="84"/>
          <w14:textOutline w14:w="15240" w14:cap="flat" w14:cmpd="sng" w14:algn="ctr">
            <w14:solidFill>
              <w14:srgbClr w14:val="000000"/>
            </w14:solidFill>
            <w14:prstDash w14:val="solid"/>
            <w14:miter w14:val="0"/>
          </w14:textOutline>
        </w:rPr>
        <w:t>招标文件</w:t>
      </w:r>
      <w:bookmarkEnd w:id="4"/>
      <w:bookmarkEnd w:id="5"/>
      <w:bookmarkEnd w:id="6"/>
    </w:p>
    <w:p w14:paraId="428AEA9A">
      <w:pPr>
        <w:spacing w:line="252" w:lineRule="auto"/>
        <w:rPr>
          <w:rFonts w:hint="eastAsia" w:ascii="宋体" w:hAnsi="宋体" w:eastAsia="宋体" w:cs="宋体"/>
        </w:rPr>
      </w:pPr>
    </w:p>
    <w:p w14:paraId="46909933">
      <w:pPr>
        <w:spacing w:line="252" w:lineRule="auto"/>
        <w:rPr>
          <w:rFonts w:hint="eastAsia" w:ascii="宋体" w:hAnsi="宋体" w:eastAsia="宋体" w:cs="宋体"/>
        </w:rPr>
      </w:pPr>
    </w:p>
    <w:p w14:paraId="0984F727">
      <w:pPr>
        <w:spacing w:line="252" w:lineRule="auto"/>
        <w:rPr>
          <w:rFonts w:hint="eastAsia" w:ascii="宋体" w:hAnsi="宋体" w:eastAsia="宋体" w:cs="宋体"/>
        </w:rPr>
      </w:pPr>
    </w:p>
    <w:p w14:paraId="4D0E4C2E">
      <w:pPr>
        <w:spacing w:line="252" w:lineRule="auto"/>
        <w:rPr>
          <w:rFonts w:hint="eastAsia" w:ascii="宋体" w:hAnsi="宋体" w:eastAsia="宋体" w:cs="宋体"/>
        </w:rPr>
      </w:pPr>
    </w:p>
    <w:p w14:paraId="22C73EC0">
      <w:pPr>
        <w:spacing w:line="253" w:lineRule="auto"/>
        <w:rPr>
          <w:rFonts w:hint="eastAsia" w:ascii="宋体" w:hAnsi="宋体" w:eastAsia="宋体" w:cs="宋体"/>
        </w:rPr>
      </w:pPr>
    </w:p>
    <w:p w14:paraId="6A54E3C5">
      <w:pPr>
        <w:spacing w:line="253" w:lineRule="auto"/>
        <w:rPr>
          <w:rFonts w:hint="eastAsia" w:ascii="宋体" w:hAnsi="宋体" w:eastAsia="宋体" w:cs="宋体"/>
        </w:rPr>
      </w:pPr>
    </w:p>
    <w:p w14:paraId="71832BB0">
      <w:pPr>
        <w:pStyle w:val="9"/>
        <w:rPr>
          <w:rFonts w:hint="eastAsia" w:ascii="宋体" w:hAnsi="宋体" w:eastAsia="宋体" w:cs="宋体"/>
        </w:rPr>
      </w:pPr>
    </w:p>
    <w:p w14:paraId="37CB4195">
      <w:pPr>
        <w:pStyle w:val="9"/>
        <w:rPr>
          <w:rFonts w:hint="eastAsia" w:ascii="宋体" w:hAnsi="宋体" w:eastAsia="宋体" w:cs="宋体"/>
        </w:rPr>
      </w:pPr>
    </w:p>
    <w:p w14:paraId="38E38A3D">
      <w:pPr>
        <w:pStyle w:val="9"/>
        <w:rPr>
          <w:rFonts w:hint="eastAsia" w:ascii="宋体" w:hAnsi="宋体" w:eastAsia="宋体" w:cs="宋体"/>
        </w:rPr>
      </w:pPr>
    </w:p>
    <w:p w14:paraId="13E66144">
      <w:pPr>
        <w:spacing w:line="253" w:lineRule="auto"/>
        <w:rPr>
          <w:rFonts w:hint="eastAsia" w:ascii="宋体" w:hAnsi="宋体" w:eastAsia="宋体" w:cs="宋体"/>
        </w:rPr>
      </w:pPr>
    </w:p>
    <w:p w14:paraId="18B311D6">
      <w:pPr>
        <w:spacing w:line="253" w:lineRule="auto"/>
        <w:rPr>
          <w:rFonts w:hint="eastAsia" w:ascii="宋体" w:hAnsi="宋体" w:eastAsia="宋体" w:cs="宋体"/>
        </w:rPr>
      </w:pPr>
    </w:p>
    <w:p w14:paraId="69B305C1">
      <w:pPr>
        <w:spacing w:before="104" w:line="188" w:lineRule="auto"/>
        <w:rPr>
          <w:rFonts w:hint="eastAsia" w:ascii="宋体" w:hAnsi="宋体" w:eastAsia="宋体" w:cs="宋体"/>
          <w:spacing w:val="-18"/>
          <w:sz w:val="32"/>
          <w:szCs w:val="32"/>
        </w:rPr>
      </w:pPr>
    </w:p>
    <w:p w14:paraId="41EBAFB6">
      <w:pPr>
        <w:spacing w:before="104" w:line="188" w:lineRule="auto"/>
        <w:jc w:val="center"/>
        <w:outlineLvl w:val="9"/>
        <w:rPr>
          <w:rFonts w:hint="eastAsia" w:ascii="宋体" w:hAnsi="宋体" w:eastAsia="宋体" w:cs="宋体"/>
          <w:sz w:val="32"/>
          <w:szCs w:val="32"/>
        </w:rPr>
      </w:pPr>
      <w:bookmarkStart w:id="7" w:name="_Toc28706"/>
      <w:bookmarkStart w:id="8" w:name="_Toc824"/>
      <w:bookmarkStart w:id="9" w:name="_Toc12968"/>
      <w:r>
        <w:rPr>
          <w:rFonts w:hint="eastAsia" w:ascii="宋体" w:hAnsi="宋体" w:eastAsia="宋体" w:cs="宋体"/>
          <w:sz w:val="32"/>
          <w:szCs w:val="32"/>
        </w:rPr>
        <w:t>招标人：中国机械总院集团海西（福建）分院有限公司</w:t>
      </w:r>
      <w:bookmarkEnd w:id="7"/>
      <w:bookmarkEnd w:id="8"/>
      <w:bookmarkEnd w:id="9"/>
    </w:p>
    <w:p w14:paraId="4723C682">
      <w:pPr>
        <w:spacing w:line="409" w:lineRule="auto"/>
        <w:rPr>
          <w:rFonts w:hint="eastAsia" w:ascii="宋体" w:hAnsi="宋体" w:eastAsia="宋体" w:cs="宋体"/>
        </w:rPr>
      </w:pPr>
    </w:p>
    <w:p w14:paraId="053C8A5D">
      <w:pPr>
        <w:spacing w:before="104" w:line="188" w:lineRule="auto"/>
        <w:jc w:val="center"/>
        <w:outlineLvl w:val="9"/>
        <w:rPr>
          <w:rFonts w:hint="default" w:ascii="宋体" w:hAnsi="宋体" w:eastAsia="宋体" w:cs="宋体"/>
          <w:sz w:val="24"/>
          <w:szCs w:val="24"/>
          <w:lang w:val="en-US"/>
        </w:rPr>
        <w:sectPr>
          <w:headerReference r:id="rId3" w:type="default"/>
          <w:footerReference r:id="rId4" w:type="default"/>
          <w:pgSz w:w="11907" w:h="16839"/>
          <w:pgMar w:top="1432" w:right="1389" w:bottom="1201" w:left="1389" w:header="852" w:footer="1021" w:gutter="0"/>
          <w:pgBorders>
            <w:top w:val="none" w:sz="0" w:space="0"/>
            <w:left w:val="none" w:sz="0" w:space="0"/>
            <w:bottom w:val="none" w:sz="0" w:space="0"/>
            <w:right w:val="none" w:sz="0" w:space="0"/>
          </w:pgBorders>
          <w:pgNumType w:fmt="decimal"/>
          <w:cols w:space="720" w:num="1"/>
        </w:sectPr>
      </w:pPr>
      <w:bookmarkStart w:id="10" w:name="_Toc24157"/>
      <w:bookmarkStart w:id="11" w:name="_Toc25156"/>
      <w:bookmarkStart w:id="12" w:name="_Toc18293"/>
      <w:r>
        <w:rPr>
          <w:rFonts w:hint="eastAsia" w:ascii="宋体" w:hAnsi="宋体" w:eastAsia="宋体" w:cs="宋体"/>
          <w:color w:val="auto"/>
          <w:sz w:val="32"/>
          <w:szCs w:val="32"/>
          <w:lang w:val="en-US" w:eastAsia="zh-CN"/>
        </w:rPr>
        <w:t>2026</w:t>
      </w:r>
      <w:r>
        <w:rPr>
          <w:rFonts w:hint="eastAsia" w:ascii="宋体" w:hAnsi="宋体" w:eastAsia="宋体" w:cs="宋体"/>
          <w:color w:val="auto"/>
          <w:sz w:val="32"/>
          <w:szCs w:val="32"/>
        </w:rPr>
        <w:t>年</w:t>
      </w:r>
      <w:r>
        <w:rPr>
          <w:rFonts w:hint="eastAsia" w:ascii="宋体" w:hAnsi="宋体" w:eastAsia="宋体" w:cs="宋体"/>
          <w:color w:val="auto"/>
          <w:sz w:val="32"/>
          <w:szCs w:val="32"/>
          <w:lang w:val="en-US" w:eastAsia="zh-CN"/>
        </w:rPr>
        <w:t>08</w:t>
      </w:r>
      <w:r>
        <w:rPr>
          <w:rFonts w:hint="eastAsia" w:ascii="宋体" w:hAnsi="宋体" w:eastAsia="宋体" w:cs="宋体"/>
          <w:color w:val="auto"/>
          <w:sz w:val="32"/>
          <w:szCs w:val="32"/>
        </w:rPr>
        <w:t>月</w:t>
      </w:r>
      <w:bookmarkEnd w:id="10"/>
      <w:r>
        <w:rPr>
          <w:rFonts w:hint="eastAsia" w:ascii="宋体" w:hAnsi="宋体" w:eastAsia="宋体" w:cs="宋体"/>
          <w:color w:val="auto"/>
          <w:sz w:val="32"/>
          <w:szCs w:val="32"/>
          <w:lang w:val="en-US" w:eastAsia="zh-CN"/>
        </w:rPr>
        <w:t>20日</w:t>
      </w:r>
      <w:bookmarkEnd w:id="11"/>
      <w:bookmarkEnd w:id="12"/>
    </w:p>
    <w:p w14:paraId="55D07203"/>
    <w:p w14:paraId="4C6C2953">
      <w:pPr>
        <w:spacing w:before="0" w:beforeLines="0" w:afterLines="0" w:line="240" w:lineRule="auto"/>
        <w:ind w:left="0" w:leftChars="0" w:right="0" w:rightChars="0" w:firstLine="0" w:firstLineChars="0"/>
        <w:jc w:val="center"/>
        <w:rPr>
          <w:rFonts w:ascii="宋体" w:hAnsi="宋体" w:eastAsia="宋体" w:cs="Arial"/>
          <w:snapToGrid w:val="0"/>
          <w:color w:val="000000"/>
          <w:sz w:val="21"/>
          <w:szCs w:val="21"/>
          <w:lang w:val="en-US" w:eastAsia="zh-CN" w:bidi="ar-SA"/>
        </w:rPr>
      </w:pPr>
    </w:p>
    <w:sdt>
      <w:sdtPr>
        <w:rPr>
          <w:rFonts w:ascii="宋体" w:hAnsi="宋体" w:eastAsia="宋体" w:cs="Arial"/>
          <w:snapToGrid w:val="0"/>
          <w:color w:val="000000"/>
          <w:sz w:val="21"/>
          <w:szCs w:val="21"/>
          <w:lang w:val="en-US" w:eastAsia="zh-CN" w:bidi="ar-SA"/>
        </w:rPr>
        <w:id w:val="147467646"/>
        <w15:color w:val="DBDBDB"/>
        <w:docPartObj>
          <w:docPartGallery w:val="Table of Contents"/>
          <w:docPartUnique/>
        </w:docPartObj>
      </w:sdtPr>
      <w:sdtEndPr>
        <w:rPr>
          <w:rFonts w:ascii="宋体" w:hAnsi="宋体" w:eastAsia="宋体" w:cs="Arial"/>
          <w:snapToGrid w:val="0"/>
          <w:color w:val="000000"/>
          <w:sz w:val="21"/>
          <w:szCs w:val="21"/>
          <w:lang w:val="en-US" w:eastAsia="zh-CN" w:bidi="ar-SA"/>
        </w:rPr>
      </w:sdtEndPr>
      <w:sdtContent>
        <w:p w14:paraId="5989C02A">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15F60D2">
          <w:pPr>
            <w:pStyle w:val="16"/>
            <w:tabs>
              <w:tab w:val="right" w:leader="dot" w:pos="9183"/>
            </w:tabs>
          </w:pPr>
          <w:r>
            <w:fldChar w:fldCharType="begin"/>
          </w:r>
          <w:r>
            <w:instrText xml:space="preserve">TOC \o "1-9" \h \u </w:instrText>
          </w:r>
          <w:r>
            <w:fldChar w:fldCharType="separate"/>
          </w:r>
          <w:r>
            <w:fldChar w:fldCharType="begin"/>
          </w:r>
          <w:r>
            <w:instrText xml:space="preserve"> HYPERLINK \l _Toc29247 </w:instrText>
          </w:r>
          <w:r>
            <w:fldChar w:fldCharType="separate"/>
          </w:r>
          <w:r>
            <w:rPr>
              <w:rFonts w:hint="eastAsia" w:ascii="宋体" w:hAnsi="宋体" w:eastAsia="宋体" w:cs="宋体"/>
              <w:spacing w:val="-3"/>
              <w:szCs w:val="36"/>
              <w:lang w:val="en-US" w:eastAsia="zh-CN"/>
              <w14:textOutline w14:w="6527" w14:cap="flat" w14:cmpd="sng" w14:algn="ctr">
                <w14:solidFill>
                  <w14:srgbClr w14:val="000000"/>
                </w14:solidFill>
                <w14:prstDash w14:val="solid"/>
                <w14:miter w14:val="0"/>
              </w14:textOutline>
            </w:rPr>
            <w:t>一、</w:t>
          </w:r>
          <w:r>
            <w:rPr>
              <w:rFonts w:hint="eastAsia" w:ascii="宋体" w:hAnsi="宋体" w:eastAsia="宋体" w:cs="宋体"/>
              <w:spacing w:val="-3"/>
              <w:szCs w:val="36"/>
              <w14:textOutline w14:w="6527" w14:cap="flat" w14:cmpd="sng" w14:algn="ctr">
                <w14:solidFill>
                  <w14:srgbClr w14:val="000000"/>
                </w14:solidFill>
                <w14:prstDash w14:val="solid"/>
                <w14:miter w14:val="0"/>
              </w14:textOutline>
            </w:rPr>
            <w:t>投标邀请书</w:t>
          </w:r>
          <w:r>
            <w:tab/>
          </w:r>
          <w:r>
            <w:fldChar w:fldCharType="begin"/>
          </w:r>
          <w:r>
            <w:instrText xml:space="preserve"> PAGEREF _Toc29247 \h </w:instrText>
          </w:r>
          <w:r>
            <w:fldChar w:fldCharType="separate"/>
          </w:r>
          <w:r>
            <w:t>3</w:t>
          </w:r>
          <w:r>
            <w:fldChar w:fldCharType="end"/>
          </w:r>
          <w:r>
            <w:fldChar w:fldCharType="end"/>
          </w:r>
        </w:p>
        <w:p w14:paraId="31B19941">
          <w:pPr>
            <w:pStyle w:val="16"/>
            <w:tabs>
              <w:tab w:val="right" w:leader="dot" w:pos="9183"/>
            </w:tabs>
          </w:pPr>
          <w:r>
            <w:fldChar w:fldCharType="begin"/>
          </w:r>
          <w:r>
            <w:instrText xml:space="preserve"> HYPERLINK \l _Toc32041 </w:instrText>
          </w:r>
          <w:r>
            <w:fldChar w:fldCharType="separate"/>
          </w:r>
          <w:r>
            <w:rPr>
              <w:rFonts w:hint="eastAsia" w:ascii="宋体" w:hAnsi="宋体" w:eastAsia="宋体" w:cs="宋体"/>
              <w:spacing w:val="-3"/>
              <w:szCs w:val="36"/>
              <w:lang w:val="en-US" w:eastAsia="zh-CN"/>
              <w14:textOutline w14:w="6527" w14:cap="flat" w14:cmpd="sng" w14:algn="ctr">
                <w14:solidFill>
                  <w14:srgbClr w14:val="000000"/>
                </w14:solidFill>
                <w14:prstDash w14:val="solid"/>
                <w14:miter w14:val="0"/>
              </w14:textOutline>
            </w:rPr>
            <w:t>二、投标人须知前附表</w:t>
          </w:r>
          <w:r>
            <w:tab/>
          </w:r>
          <w:r>
            <w:fldChar w:fldCharType="begin"/>
          </w:r>
          <w:r>
            <w:instrText xml:space="preserve"> PAGEREF _Toc32041 \h </w:instrText>
          </w:r>
          <w:r>
            <w:fldChar w:fldCharType="separate"/>
          </w:r>
          <w:r>
            <w:t>5</w:t>
          </w:r>
          <w:r>
            <w:fldChar w:fldCharType="end"/>
          </w:r>
          <w:r>
            <w:fldChar w:fldCharType="end"/>
          </w:r>
        </w:p>
        <w:p w14:paraId="137A220D">
          <w:pPr>
            <w:pStyle w:val="16"/>
            <w:tabs>
              <w:tab w:val="right" w:leader="dot" w:pos="9183"/>
            </w:tabs>
          </w:pPr>
          <w:r>
            <w:fldChar w:fldCharType="begin"/>
          </w:r>
          <w:r>
            <w:instrText xml:space="preserve"> HYPERLINK \l _Toc23318 </w:instrText>
          </w:r>
          <w:r>
            <w:fldChar w:fldCharType="separate"/>
          </w:r>
          <w:r>
            <w:rPr>
              <w:rFonts w:hint="eastAsia" w:ascii="宋体" w:hAnsi="宋体" w:eastAsia="宋体" w:cs="宋体"/>
              <w:spacing w:val="-3"/>
              <w:szCs w:val="36"/>
              <w:lang w:val="en-US" w:eastAsia="zh-CN"/>
              <w14:textOutline w14:w="6527" w14:cap="flat" w14:cmpd="sng" w14:algn="ctr">
                <w14:solidFill>
                  <w14:srgbClr w14:val="000000"/>
                </w14:solidFill>
                <w14:prstDash w14:val="solid"/>
                <w14:miter w14:val="0"/>
              </w14:textOutline>
            </w:rPr>
            <w:t>三、</w:t>
          </w:r>
          <w:r>
            <w:rPr>
              <w:rFonts w:hint="eastAsia" w:ascii="宋体" w:hAnsi="宋体" w:eastAsia="宋体" w:cs="宋体"/>
              <w:spacing w:val="-3"/>
              <w:szCs w:val="36"/>
              <w14:textOutline w14:w="6527" w14:cap="flat" w14:cmpd="sng" w14:algn="ctr">
                <w14:solidFill>
                  <w14:srgbClr w14:val="000000"/>
                </w14:solidFill>
                <w14:prstDash w14:val="solid"/>
                <w14:miter w14:val="0"/>
              </w14:textOutline>
            </w:rPr>
            <w:t>投标人须知</w:t>
          </w:r>
          <w:r>
            <w:tab/>
          </w:r>
          <w:r>
            <w:fldChar w:fldCharType="begin"/>
          </w:r>
          <w:r>
            <w:instrText xml:space="preserve"> PAGEREF _Toc23318 \h </w:instrText>
          </w:r>
          <w:r>
            <w:fldChar w:fldCharType="separate"/>
          </w:r>
          <w:r>
            <w:t>6</w:t>
          </w:r>
          <w:r>
            <w:fldChar w:fldCharType="end"/>
          </w:r>
          <w:r>
            <w:fldChar w:fldCharType="end"/>
          </w:r>
        </w:p>
        <w:p w14:paraId="3BA41E44">
          <w:pPr>
            <w:pStyle w:val="17"/>
            <w:tabs>
              <w:tab w:val="right" w:leader="dot" w:pos="9183"/>
            </w:tabs>
          </w:pPr>
          <w:r>
            <w:fldChar w:fldCharType="begin"/>
          </w:r>
          <w:r>
            <w:instrText xml:space="preserve"> HYPERLINK \l _Toc29315 </w:instrText>
          </w:r>
          <w:r>
            <w:fldChar w:fldCharType="separate"/>
          </w:r>
          <w:r>
            <w:rPr>
              <w:rFonts w:hint="eastAsia" w:ascii="宋体" w:hAnsi="宋体" w:eastAsia="宋体" w:cs="宋体"/>
              <w:bCs/>
              <w:szCs w:val="24"/>
            </w:rPr>
            <w:t>一、投标要求</w:t>
          </w:r>
          <w:r>
            <w:tab/>
          </w:r>
          <w:r>
            <w:fldChar w:fldCharType="begin"/>
          </w:r>
          <w:r>
            <w:instrText xml:space="preserve"> PAGEREF _Toc29315 \h </w:instrText>
          </w:r>
          <w:r>
            <w:fldChar w:fldCharType="separate"/>
          </w:r>
          <w:r>
            <w:t>6</w:t>
          </w:r>
          <w:r>
            <w:fldChar w:fldCharType="end"/>
          </w:r>
          <w:r>
            <w:fldChar w:fldCharType="end"/>
          </w:r>
        </w:p>
        <w:p w14:paraId="726D9BFF">
          <w:pPr>
            <w:pStyle w:val="17"/>
            <w:tabs>
              <w:tab w:val="right" w:leader="dot" w:pos="9183"/>
            </w:tabs>
          </w:pPr>
          <w:r>
            <w:fldChar w:fldCharType="begin"/>
          </w:r>
          <w:r>
            <w:instrText xml:space="preserve"> HYPERLINK \l _Toc20753 </w:instrText>
          </w:r>
          <w:r>
            <w:fldChar w:fldCharType="separate"/>
          </w:r>
          <w:r>
            <w:rPr>
              <w:rFonts w:hint="eastAsia" w:ascii="宋体" w:hAnsi="宋体" w:eastAsia="宋体" w:cs="宋体"/>
              <w:bCs/>
              <w:szCs w:val="24"/>
            </w:rPr>
            <w:t>二、投标报价</w:t>
          </w:r>
          <w:r>
            <w:tab/>
          </w:r>
          <w:r>
            <w:fldChar w:fldCharType="begin"/>
          </w:r>
          <w:r>
            <w:instrText xml:space="preserve"> PAGEREF _Toc20753 \h </w:instrText>
          </w:r>
          <w:r>
            <w:fldChar w:fldCharType="separate"/>
          </w:r>
          <w:r>
            <w:t>6</w:t>
          </w:r>
          <w:r>
            <w:fldChar w:fldCharType="end"/>
          </w:r>
          <w:r>
            <w:fldChar w:fldCharType="end"/>
          </w:r>
        </w:p>
        <w:p w14:paraId="5D36C2E5">
          <w:pPr>
            <w:pStyle w:val="17"/>
            <w:tabs>
              <w:tab w:val="right" w:leader="dot" w:pos="9183"/>
            </w:tabs>
          </w:pPr>
          <w:r>
            <w:fldChar w:fldCharType="begin"/>
          </w:r>
          <w:r>
            <w:instrText xml:space="preserve"> HYPERLINK \l _Toc23959 </w:instrText>
          </w:r>
          <w:r>
            <w:fldChar w:fldCharType="separate"/>
          </w:r>
          <w:r>
            <w:rPr>
              <w:rFonts w:hint="eastAsia" w:ascii="宋体" w:hAnsi="宋体" w:eastAsia="宋体" w:cs="宋体"/>
              <w:bCs/>
              <w:szCs w:val="24"/>
            </w:rPr>
            <w:t>三、投标文件</w:t>
          </w:r>
          <w:r>
            <w:tab/>
          </w:r>
          <w:r>
            <w:fldChar w:fldCharType="begin"/>
          </w:r>
          <w:r>
            <w:instrText xml:space="preserve"> PAGEREF _Toc23959 \h </w:instrText>
          </w:r>
          <w:r>
            <w:fldChar w:fldCharType="separate"/>
          </w:r>
          <w:r>
            <w:t>7</w:t>
          </w:r>
          <w:r>
            <w:fldChar w:fldCharType="end"/>
          </w:r>
          <w:r>
            <w:fldChar w:fldCharType="end"/>
          </w:r>
        </w:p>
        <w:p w14:paraId="7CE16501">
          <w:pPr>
            <w:pStyle w:val="17"/>
            <w:tabs>
              <w:tab w:val="right" w:leader="dot" w:pos="9183"/>
            </w:tabs>
          </w:pPr>
          <w:r>
            <w:fldChar w:fldCharType="begin"/>
          </w:r>
          <w:r>
            <w:instrText xml:space="preserve"> HYPERLINK \l _Toc15210 </w:instrText>
          </w:r>
          <w:r>
            <w:fldChar w:fldCharType="separate"/>
          </w:r>
          <w:r>
            <w:rPr>
              <w:rFonts w:hint="eastAsia" w:ascii="宋体" w:hAnsi="宋体" w:eastAsia="宋体" w:cs="宋体"/>
              <w:bCs/>
              <w:szCs w:val="24"/>
            </w:rPr>
            <w:t>四、开标、评标、定标</w:t>
          </w:r>
          <w:r>
            <w:tab/>
          </w:r>
          <w:r>
            <w:fldChar w:fldCharType="begin"/>
          </w:r>
          <w:r>
            <w:instrText xml:space="preserve"> PAGEREF _Toc15210 \h </w:instrText>
          </w:r>
          <w:r>
            <w:fldChar w:fldCharType="separate"/>
          </w:r>
          <w:r>
            <w:t>7</w:t>
          </w:r>
          <w:r>
            <w:fldChar w:fldCharType="end"/>
          </w:r>
          <w:r>
            <w:fldChar w:fldCharType="end"/>
          </w:r>
        </w:p>
        <w:p w14:paraId="077B6DA8">
          <w:pPr>
            <w:pStyle w:val="17"/>
            <w:tabs>
              <w:tab w:val="right" w:leader="dot" w:pos="9183"/>
            </w:tabs>
          </w:pPr>
          <w:r>
            <w:fldChar w:fldCharType="begin"/>
          </w:r>
          <w:r>
            <w:instrText xml:space="preserve"> HYPERLINK \l _Toc25585 </w:instrText>
          </w:r>
          <w:r>
            <w:fldChar w:fldCharType="separate"/>
          </w:r>
          <w:r>
            <w:rPr>
              <w:rFonts w:hint="eastAsia" w:ascii="宋体" w:hAnsi="宋体" w:eastAsia="宋体" w:cs="宋体"/>
              <w:bCs/>
              <w:szCs w:val="24"/>
            </w:rPr>
            <w:t>五、纪律要求</w:t>
          </w:r>
          <w:r>
            <w:tab/>
          </w:r>
          <w:r>
            <w:fldChar w:fldCharType="begin"/>
          </w:r>
          <w:r>
            <w:instrText xml:space="preserve"> PAGEREF _Toc25585 \h </w:instrText>
          </w:r>
          <w:r>
            <w:fldChar w:fldCharType="separate"/>
          </w:r>
          <w:r>
            <w:t>8</w:t>
          </w:r>
          <w:r>
            <w:fldChar w:fldCharType="end"/>
          </w:r>
          <w:r>
            <w:fldChar w:fldCharType="end"/>
          </w:r>
        </w:p>
        <w:p w14:paraId="66473B26">
          <w:pPr>
            <w:pStyle w:val="17"/>
            <w:tabs>
              <w:tab w:val="right" w:leader="dot" w:pos="9183"/>
            </w:tabs>
          </w:pPr>
          <w:r>
            <w:fldChar w:fldCharType="begin"/>
          </w:r>
          <w:r>
            <w:instrText xml:space="preserve"> HYPERLINK \l _Toc32715 </w:instrText>
          </w:r>
          <w:r>
            <w:fldChar w:fldCharType="separate"/>
          </w:r>
          <w:r>
            <w:rPr>
              <w:rFonts w:hint="eastAsia" w:ascii="宋体" w:hAnsi="宋体" w:eastAsia="宋体" w:cs="宋体"/>
              <w:bCs/>
              <w:szCs w:val="24"/>
            </w:rPr>
            <w:t>六、其他</w:t>
          </w:r>
          <w:r>
            <w:tab/>
          </w:r>
          <w:r>
            <w:fldChar w:fldCharType="begin"/>
          </w:r>
          <w:r>
            <w:instrText xml:space="preserve"> PAGEREF _Toc32715 \h </w:instrText>
          </w:r>
          <w:r>
            <w:fldChar w:fldCharType="separate"/>
          </w:r>
          <w:r>
            <w:t>8</w:t>
          </w:r>
          <w:r>
            <w:fldChar w:fldCharType="end"/>
          </w:r>
          <w:r>
            <w:fldChar w:fldCharType="end"/>
          </w:r>
        </w:p>
        <w:p w14:paraId="6BE70A55">
          <w:pPr>
            <w:pStyle w:val="16"/>
            <w:tabs>
              <w:tab w:val="right" w:leader="dot" w:pos="9183"/>
            </w:tabs>
          </w:pPr>
          <w:r>
            <w:fldChar w:fldCharType="begin"/>
          </w:r>
          <w:r>
            <w:instrText xml:space="preserve"> HYPERLINK \l _Toc6559 </w:instrText>
          </w:r>
          <w:r>
            <w:fldChar w:fldCharType="separate"/>
          </w:r>
          <w:r>
            <w:rPr>
              <w:rFonts w:hint="eastAsia" w:ascii="宋体" w:hAnsi="宋体" w:eastAsia="宋体" w:cs="宋体"/>
              <w:spacing w:val="-3"/>
              <w:szCs w:val="36"/>
              <w:lang w:val="en-US" w:eastAsia="zh-CN"/>
              <w14:textOutline w14:w="6527" w14:cap="flat" w14:cmpd="sng" w14:algn="ctr">
                <w14:solidFill>
                  <w14:srgbClr w14:val="000000"/>
                </w14:solidFill>
                <w14:prstDash w14:val="solid"/>
                <w14:miter w14:val="0"/>
              </w14:textOutline>
            </w:rPr>
            <w:t>四、评标办法</w:t>
          </w:r>
          <w:r>
            <w:tab/>
          </w:r>
          <w:r>
            <w:fldChar w:fldCharType="begin"/>
          </w:r>
          <w:r>
            <w:instrText xml:space="preserve"> PAGEREF _Toc6559 \h </w:instrText>
          </w:r>
          <w:r>
            <w:fldChar w:fldCharType="separate"/>
          </w:r>
          <w:r>
            <w:t>9</w:t>
          </w:r>
          <w:r>
            <w:fldChar w:fldCharType="end"/>
          </w:r>
          <w:r>
            <w:fldChar w:fldCharType="end"/>
          </w:r>
        </w:p>
        <w:p w14:paraId="3B3FB0EC">
          <w:pPr>
            <w:pStyle w:val="17"/>
            <w:tabs>
              <w:tab w:val="right" w:leader="dot" w:pos="9183"/>
            </w:tabs>
          </w:pPr>
          <w:r>
            <w:fldChar w:fldCharType="begin"/>
          </w:r>
          <w:r>
            <w:instrText xml:space="preserve"> HYPERLINK \l _Toc15087 </w:instrText>
          </w:r>
          <w:r>
            <w:fldChar w:fldCharType="separate"/>
          </w:r>
          <w:r>
            <w:rPr>
              <w:rFonts w:hint="eastAsia" w:ascii="宋体" w:hAnsi="宋体" w:eastAsia="宋体" w:cs="宋体"/>
              <w:bCs/>
              <w:lang w:val="en-US" w:eastAsia="zh-CN"/>
            </w:rPr>
            <w:t>1.</w:t>
          </w:r>
          <w:r>
            <w:rPr>
              <w:rFonts w:hint="eastAsia" w:ascii="宋体" w:hAnsi="宋体" w:eastAsia="宋体" w:cs="宋体"/>
              <w:bCs/>
            </w:rPr>
            <w:t>评标原则</w:t>
          </w:r>
          <w:r>
            <w:tab/>
          </w:r>
          <w:r>
            <w:fldChar w:fldCharType="begin"/>
          </w:r>
          <w:r>
            <w:instrText xml:space="preserve"> PAGEREF _Toc15087 \h </w:instrText>
          </w:r>
          <w:r>
            <w:fldChar w:fldCharType="separate"/>
          </w:r>
          <w:r>
            <w:t>9</w:t>
          </w:r>
          <w:r>
            <w:fldChar w:fldCharType="end"/>
          </w:r>
          <w:r>
            <w:fldChar w:fldCharType="end"/>
          </w:r>
        </w:p>
        <w:p w14:paraId="0602B6E0">
          <w:pPr>
            <w:pStyle w:val="17"/>
            <w:tabs>
              <w:tab w:val="right" w:leader="dot" w:pos="9183"/>
            </w:tabs>
          </w:pPr>
          <w:r>
            <w:fldChar w:fldCharType="begin"/>
          </w:r>
          <w:r>
            <w:instrText xml:space="preserve"> HYPERLINK \l _Toc9672 </w:instrText>
          </w:r>
          <w:r>
            <w:fldChar w:fldCharType="separate"/>
          </w:r>
          <w:r>
            <w:rPr>
              <w:rFonts w:hint="eastAsia" w:ascii="宋体" w:hAnsi="宋体" w:eastAsia="宋体" w:cs="宋体"/>
              <w:bCs/>
            </w:rPr>
            <w:t>2.评标办法类型</w:t>
          </w:r>
          <w:r>
            <w:tab/>
          </w:r>
          <w:r>
            <w:fldChar w:fldCharType="begin"/>
          </w:r>
          <w:r>
            <w:instrText xml:space="preserve"> PAGEREF _Toc9672 \h </w:instrText>
          </w:r>
          <w:r>
            <w:fldChar w:fldCharType="separate"/>
          </w:r>
          <w:r>
            <w:t>9</w:t>
          </w:r>
          <w:r>
            <w:fldChar w:fldCharType="end"/>
          </w:r>
          <w:r>
            <w:fldChar w:fldCharType="end"/>
          </w:r>
        </w:p>
        <w:p w14:paraId="1781C17E">
          <w:pPr>
            <w:pStyle w:val="17"/>
            <w:tabs>
              <w:tab w:val="right" w:leader="dot" w:pos="9183"/>
            </w:tabs>
          </w:pPr>
          <w:r>
            <w:fldChar w:fldCharType="begin"/>
          </w:r>
          <w:r>
            <w:instrText xml:space="preserve"> HYPERLINK \l _Toc26451 </w:instrText>
          </w:r>
          <w:r>
            <w:fldChar w:fldCharType="separate"/>
          </w:r>
          <w:r>
            <w:rPr>
              <w:rFonts w:hint="eastAsia" w:ascii="宋体" w:hAnsi="宋体" w:eastAsia="宋体" w:cs="宋体"/>
              <w:bCs/>
              <w:lang w:val="en-US" w:eastAsia="zh-CN"/>
            </w:rPr>
            <w:t>3</w:t>
          </w:r>
          <w:r>
            <w:rPr>
              <w:rFonts w:hint="eastAsia" w:ascii="宋体" w:hAnsi="宋体" w:eastAsia="宋体" w:cs="宋体"/>
              <w:bCs/>
            </w:rPr>
            <w:t>.评审内容</w:t>
          </w:r>
          <w:r>
            <w:tab/>
          </w:r>
          <w:r>
            <w:fldChar w:fldCharType="begin"/>
          </w:r>
          <w:r>
            <w:instrText xml:space="preserve"> PAGEREF _Toc26451 \h </w:instrText>
          </w:r>
          <w:r>
            <w:fldChar w:fldCharType="separate"/>
          </w:r>
          <w:r>
            <w:t>9</w:t>
          </w:r>
          <w:r>
            <w:fldChar w:fldCharType="end"/>
          </w:r>
          <w:r>
            <w:fldChar w:fldCharType="end"/>
          </w:r>
        </w:p>
        <w:p w14:paraId="00A0D639">
          <w:pPr>
            <w:pStyle w:val="17"/>
            <w:tabs>
              <w:tab w:val="right" w:leader="dot" w:pos="9183"/>
            </w:tabs>
          </w:pPr>
          <w:r>
            <w:fldChar w:fldCharType="begin"/>
          </w:r>
          <w:r>
            <w:instrText xml:space="preserve"> HYPERLINK \l _Toc4385 </w:instrText>
          </w:r>
          <w:r>
            <w:fldChar w:fldCharType="separate"/>
          </w:r>
          <w:r>
            <w:rPr>
              <w:rFonts w:hint="eastAsia" w:ascii="宋体" w:hAnsi="宋体" w:eastAsia="宋体" w:cs="宋体"/>
              <w:bCs/>
              <w:lang w:val="en-US" w:eastAsia="zh-CN"/>
            </w:rPr>
            <w:t>4</w:t>
          </w:r>
          <w:r>
            <w:rPr>
              <w:rFonts w:hint="eastAsia" w:ascii="宋体" w:hAnsi="宋体" w:eastAsia="宋体" w:cs="宋体"/>
              <w:bCs/>
            </w:rPr>
            <w:t>.评审程序</w:t>
          </w:r>
          <w:r>
            <w:tab/>
          </w:r>
          <w:r>
            <w:fldChar w:fldCharType="begin"/>
          </w:r>
          <w:r>
            <w:instrText xml:space="preserve"> PAGEREF _Toc4385 \h </w:instrText>
          </w:r>
          <w:r>
            <w:fldChar w:fldCharType="separate"/>
          </w:r>
          <w:r>
            <w:t>9</w:t>
          </w:r>
          <w:r>
            <w:fldChar w:fldCharType="end"/>
          </w:r>
          <w:r>
            <w:fldChar w:fldCharType="end"/>
          </w:r>
        </w:p>
        <w:p w14:paraId="196BC520">
          <w:pPr>
            <w:pStyle w:val="17"/>
            <w:tabs>
              <w:tab w:val="right" w:leader="dot" w:pos="9183"/>
            </w:tabs>
          </w:pPr>
          <w:r>
            <w:fldChar w:fldCharType="begin"/>
          </w:r>
          <w:r>
            <w:instrText xml:space="preserve"> HYPERLINK \l _Toc10838 </w:instrText>
          </w:r>
          <w:r>
            <w:fldChar w:fldCharType="separate"/>
          </w:r>
          <w:r>
            <w:rPr>
              <w:rFonts w:hint="eastAsia" w:ascii="宋体" w:hAnsi="宋体" w:eastAsia="宋体" w:cs="宋体"/>
              <w:bCs/>
              <w:lang w:val="en-US" w:eastAsia="zh-CN"/>
            </w:rPr>
            <w:t>5</w:t>
          </w:r>
          <w:r>
            <w:rPr>
              <w:rFonts w:hint="eastAsia" w:ascii="宋体" w:hAnsi="宋体" w:eastAsia="宋体" w:cs="宋体"/>
              <w:bCs/>
            </w:rPr>
            <w:t>.其他方面要求</w:t>
          </w:r>
          <w:r>
            <w:tab/>
          </w:r>
          <w:r>
            <w:fldChar w:fldCharType="begin"/>
          </w:r>
          <w:r>
            <w:instrText xml:space="preserve"> PAGEREF _Toc10838 \h </w:instrText>
          </w:r>
          <w:r>
            <w:fldChar w:fldCharType="separate"/>
          </w:r>
          <w:r>
            <w:t>9</w:t>
          </w:r>
          <w:r>
            <w:fldChar w:fldCharType="end"/>
          </w:r>
          <w:r>
            <w:fldChar w:fldCharType="end"/>
          </w:r>
        </w:p>
        <w:p w14:paraId="27C0D5DB">
          <w:pPr>
            <w:pStyle w:val="17"/>
            <w:tabs>
              <w:tab w:val="right" w:leader="dot" w:pos="9183"/>
            </w:tabs>
          </w:pPr>
          <w:r>
            <w:fldChar w:fldCharType="begin"/>
          </w:r>
          <w:r>
            <w:instrText xml:space="preserve"> HYPERLINK \l _Toc13574 </w:instrText>
          </w:r>
          <w:r>
            <w:fldChar w:fldCharType="separate"/>
          </w:r>
          <w:r>
            <w:rPr>
              <w:rFonts w:hint="eastAsia" w:ascii="宋体" w:hAnsi="宋体" w:eastAsia="宋体" w:cs="宋体"/>
              <w:lang w:val="en-US" w:eastAsia="zh-CN"/>
            </w:rPr>
            <w:t>6</w:t>
          </w:r>
          <w:r>
            <w:rPr>
              <w:rFonts w:hint="eastAsia" w:ascii="宋体" w:hAnsi="宋体" w:eastAsia="宋体" w:cs="宋体"/>
            </w:rPr>
            <w:t>.评审标准</w:t>
          </w:r>
          <w:r>
            <w:tab/>
          </w:r>
          <w:r>
            <w:fldChar w:fldCharType="begin"/>
          </w:r>
          <w:r>
            <w:instrText xml:space="preserve"> PAGEREF _Toc13574 \h </w:instrText>
          </w:r>
          <w:r>
            <w:fldChar w:fldCharType="separate"/>
          </w:r>
          <w:r>
            <w:t>9</w:t>
          </w:r>
          <w:r>
            <w:fldChar w:fldCharType="end"/>
          </w:r>
          <w:r>
            <w:fldChar w:fldCharType="end"/>
          </w:r>
        </w:p>
        <w:p w14:paraId="579707DA">
          <w:pPr>
            <w:pStyle w:val="16"/>
            <w:tabs>
              <w:tab w:val="right" w:leader="dot" w:pos="9183"/>
            </w:tabs>
          </w:pPr>
          <w:r>
            <w:fldChar w:fldCharType="begin"/>
          </w:r>
          <w:r>
            <w:instrText xml:space="preserve"> HYPERLINK \l _Toc894 </w:instrText>
          </w:r>
          <w:r>
            <w:fldChar w:fldCharType="separate"/>
          </w:r>
          <w:r>
            <w:rPr>
              <w:rFonts w:hint="eastAsia" w:ascii="宋体" w:hAnsi="宋体" w:eastAsia="宋体" w:cs="宋体"/>
              <w:spacing w:val="-3"/>
              <w:szCs w:val="36"/>
              <w:lang w:val="en-US" w:eastAsia="zh-CN"/>
              <w14:textOutline w14:w="6527" w14:cap="flat" w14:cmpd="sng" w14:algn="ctr">
                <w14:solidFill>
                  <w14:srgbClr w14:val="000000"/>
                </w14:solidFill>
                <w14:prstDash w14:val="solid"/>
                <w14:miter w14:val="0"/>
              </w14:textOutline>
            </w:rPr>
            <w:t>五、综合评标评分标准</w:t>
          </w:r>
          <w:r>
            <w:tab/>
          </w:r>
          <w:r>
            <w:fldChar w:fldCharType="begin"/>
          </w:r>
          <w:r>
            <w:instrText xml:space="preserve"> PAGEREF _Toc894 \h </w:instrText>
          </w:r>
          <w:r>
            <w:fldChar w:fldCharType="separate"/>
          </w:r>
          <w:r>
            <w:t>10</w:t>
          </w:r>
          <w:r>
            <w:fldChar w:fldCharType="end"/>
          </w:r>
          <w:r>
            <w:fldChar w:fldCharType="end"/>
          </w:r>
        </w:p>
        <w:p w14:paraId="1093300C">
          <w:pPr>
            <w:pStyle w:val="16"/>
            <w:tabs>
              <w:tab w:val="right" w:leader="dot" w:pos="9183"/>
            </w:tabs>
          </w:pPr>
          <w:r>
            <w:fldChar w:fldCharType="begin"/>
          </w:r>
          <w:r>
            <w:instrText xml:space="preserve"> HYPERLINK \l _Toc14384 </w:instrText>
          </w:r>
          <w:r>
            <w:fldChar w:fldCharType="separate"/>
          </w:r>
          <w:r>
            <w:rPr>
              <w:rFonts w:hint="eastAsia" w:ascii="宋体" w:hAnsi="宋体" w:eastAsia="宋体" w:cs="宋体"/>
              <w:spacing w:val="-3"/>
              <w:szCs w:val="36"/>
              <w:lang w:val="en-US" w:eastAsia="zh-CN"/>
              <w14:textOutline w14:w="6527" w14:cap="flat" w14:cmpd="sng" w14:algn="ctr">
                <w14:solidFill>
                  <w14:srgbClr w14:val="000000"/>
                </w14:solidFill>
                <w14:prstDash w14:val="solid"/>
                <w14:miter w14:val="0"/>
              </w14:textOutline>
            </w:rPr>
            <w:t>六、技术要求</w:t>
          </w:r>
          <w:r>
            <w:tab/>
          </w:r>
          <w:r>
            <w:fldChar w:fldCharType="begin"/>
          </w:r>
          <w:r>
            <w:instrText xml:space="preserve"> PAGEREF _Toc14384 \h </w:instrText>
          </w:r>
          <w:r>
            <w:fldChar w:fldCharType="separate"/>
          </w:r>
          <w:r>
            <w:t>12</w:t>
          </w:r>
          <w:r>
            <w:fldChar w:fldCharType="end"/>
          </w:r>
          <w:r>
            <w:fldChar w:fldCharType="end"/>
          </w:r>
        </w:p>
        <w:p w14:paraId="20393682">
          <w:pPr>
            <w:pStyle w:val="16"/>
            <w:tabs>
              <w:tab w:val="right" w:leader="dot" w:pos="9183"/>
            </w:tabs>
          </w:pPr>
          <w:r>
            <w:fldChar w:fldCharType="begin"/>
          </w:r>
          <w:r>
            <w:instrText xml:space="preserve"> HYPERLINK \l _Toc14009 </w:instrText>
          </w:r>
          <w:r>
            <w:fldChar w:fldCharType="separate"/>
          </w:r>
          <w:r>
            <w:rPr>
              <w:rFonts w:hint="eastAsia" w:ascii="宋体" w:hAnsi="宋体" w:eastAsia="宋体" w:cs="宋体"/>
              <w:spacing w:val="-3"/>
              <w:szCs w:val="36"/>
              <w:lang w:val="en-US" w:eastAsia="zh-CN"/>
              <w14:textOutline w14:w="6527" w14:cap="flat" w14:cmpd="sng" w14:algn="ctr">
                <w14:solidFill>
                  <w14:srgbClr w14:val="000000"/>
                </w14:solidFill>
                <w14:prstDash w14:val="solid"/>
                <w14:miter w14:val="0"/>
              </w14:textOutline>
            </w:rPr>
            <w:t>七、采购合同（模版）</w:t>
          </w:r>
          <w:r>
            <w:tab/>
          </w:r>
          <w:r>
            <w:fldChar w:fldCharType="begin"/>
          </w:r>
          <w:r>
            <w:instrText xml:space="preserve"> PAGEREF _Toc14009 \h </w:instrText>
          </w:r>
          <w:r>
            <w:fldChar w:fldCharType="separate"/>
          </w:r>
          <w:r>
            <w:t>13</w:t>
          </w:r>
          <w:r>
            <w:fldChar w:fldCharType="end"/>
          </w:r>
          <w:r>
            <w:fldChar w:fldCharType="end"/>
          </w:r>
        </w:p>
        <w:p w14:paraId="4796B00E">
          <w:r>
            <w:fldChar w:fldCharType="end"/>
          </w:r>
        </w:p>
      </w:sdtContent>
    </w:sdt>
    <w:p w14:paraId="1A251FCB"/>
    <w:p w14:paraId="24A9BD8A">
      <w:pPr>
        <w:pStyle w:val="9"/>
        <w:rPr>
          <w:rFonts w:hint="eastAsia" w:ascii="Arial" w:hAnsi="Arial" w:eastAsia="Arial" w:cs="Arial"/>
          <w:snapToGrid w:val="0"/>
          <w:color w:val="000000"/>
          <w:sz w:val="21"/>
          <w:szCs w:val="21"/>
          <w:lang w:val="en-US" w:eastAsia="zh-CN" w:bidi="ar-SA"/>
        </w:rPr>
      </w:pPr>
    </w:p>
    <w:p w14:paraId="596F6004">
      <w:pPr>
        <w:pStyle w:val="9"/>
        <w:rPr>
          <w:rFonts w:hint="eastAsia" w:ascii="Arial" w:hAnsi="Arial" w:eastAsia="Arial" w:cs="Arial"/>
          <w:snapToGrid w:val="0"/>
          <w:color w:val="000000"/>
          <w:sz w:val="21"/>
          <w:szCs w:val="21"/>
          <w:lang w:val="en-US" w:eastAsia="zh-CN" w:bidi="ar-SA"/>
        </w:rPr>
        <w:sectPr>
          <w:headerReference r:id="rId5" w:type="default"/>
          <w:footerReference r:id="rId6" w:type="default"/>
          <w:pgSz w:w="11907" w:h="16839"/>
          <w:pgMar w:top="1432" w:right="1335" w:bottom="1201" w:left="1389" w:header="852" w:footer="1021" w:gutter="0"/>
          <w:pgBorders>
            <w:top w:val="none" w:sz="0" w:space="0"/>
            <w:left w:val="none" w:sz="0" w:space="0"/>
            <w:bottom w:val="none" w:sz="0" w:space="0"/>
            <w:right w:val="none" w:sz="0" w:space="0"/>
          </w:pgBorders>
          <w:pgNumType w:fmt="decimal"/>
          <w:cols w:space="720" w:num="1"/>
        </w:sectPr>
      </w:pPr>
    </w:p>
    <w:p w14:paraId="5142C12E">
      <w:pPr>
        <w:spacing w:before="240" w:beforeLines="100" w:after="120" w:afterLines="50" w:line="360" w:lineRule="auto"/>
        <w:jc w:val="center"/>
        <w:outlineLvl w:val="0"/>
        <w:rPr>
          <w:rFonts w:hint="eastAsia" w:ascii="宋体" w:hAnsi="宋体" w:eastAsia="宋体" w:cs="宋体"/>
          <w:sz w:val="36"/>
          <w:szCs w:val="36"/>
        </w:rPr>
      </w:pPr>
      <w:bookmarkStart w:id="13" w:name="_Toc29247"/>
      <w:bookmarkStart w:id="14" w:name="_Toc23594"/>
      <w:r>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t>一、</w:t>
      </w:r>
      <w:r>
        <w:rPr>
          <w:rFonts w:hint="eastAsia" w:ascii="宋体" w:hAnsi="宋体" w:eastAsia="宋体" w:cs="宋体"/>
          <w:spacing w:val="-3"/>
          <w:sz w:val="36"/>
          <w:szCs w:val="36"/>
          <w14:textOutline w14:w="6527" w14:cap="flat" w14:cmpd="sng" w14:algn="ctr">
            <w14:solidFill>
              <w14:srgbClr w14:val="000000"/>
            </w14:solidFill>
            <w14:prstDash w14:val="solid"/>
            <w14:miter w14:val="0"/>
          </w14:textOutline>
        </w:rPr>
        <w:t>投标邀请书</w:t>
      </w:r>
      <w:bookmarkEnd w:id="13"/>
      <w:bookmarkEnd w:id="14"/>
    </w:p>
    <w:p w14:paraId="79A1A50B">
      <w:pPr>
        <w:tabs>
          <w:tab w:val="left" w:pos="2648"/>
        </w:tabs>
        <w:spacing w:line="360" w:lineRule="auto"/>
        <w:jc w:val="both"/>
        <w:rPr>
          <w:rFonts w:hint="eastAsia" w:ascii="宋体" w:hAnsi="宋体" w:eastAsia="宋体" w:cs="宋体"/>
          <w:sz w:val="24"/>
          <w:szCs w:val="24"/>
        </w:rPr>
      </w:pPr>
      <w:bookmarkStart w:id="15" w:name="_Hlk121147898"/>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tbl>
      <w:tblPr>
        <w:tblStyle w:val="20"/>
        <w:tblpPr w:leftFromText="180" w:rightFromText="180" w:vertAnchor="text" w:tblpX="10626" w:tblpY="1047"/>
        <w:tblOverlap w:val="never"/>
        <w:tblW w:w="1284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842"/>
      </w:tblGrid>
      <w:tr w14:paraId="09439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 w:hRule="atLeast"/>
        </w:trPr>
        <w:tc>
          <w:tcPr>
            <w:tcW w:w="12842" w:type="dxa"/>
          </w:tcPr>
          <w:p w14:paraId="7F73C1B7">
            <w:pPr>
              <w:keepNext w:val="0"/>
              <w:keepLines w:val="0"/>
              <w:pageBreakBefore w:val="0"/>
              <w:widowControl/>
              <w:tabs>
                <w:tab w:val="left" w:pos="5882"/>
              </w:tabs>
              <w:kinsoku w:val="0"/>
              <w:wordWrap/>
              <w:overflowPunct/>
              <w:topLinePunct w:val="0"/>
              <w:autoSpaceDE w:val="0"/>
              <w:autoSpaceDN w:val="0"/>
              <w:bidi w:val="0"/>
              <w:adjustRightInd w:val="0"/>
              <w:snapToGrid w:val="0"/>
              <w:spacing w:before="169" w:line="360" w:lineRule="auto"/>
              <w:jc w:val="left"/>
              <w:textAlignment w:val="baseline"/>
              <w:outlineLvl w:val="9"/>
              <w:rPr>
                <w:rFonts w:hint="eastAsia" w:ascii="宋体" w:hAnsi="宋体" w:eastAsia="宋体" w:cs="宋体"/>
                <w:sz w:val="24"/>
                <w:szCs w:val="24"/>
                <w:vertAlign w:val="baseline"/>
                <w:lang w:val="en-US" w:eastAsia="zh-CN"/>
              </w:rPr>
            </w:pPr>
          </w:p>
        </w:tc>
      </w:tr>
    </w:tbl>
    <w:p w14:paraId="5F0E88B4">
      <w:pPr>
        <w:keepNext w:val="0"/>
        <w:keepLines w:val="0"/>
        <w:pageBreakBefore w:val="0"/>
        <w:widowControl/>
        <w:tabs>
          <w:tab w:val="left" w:pos="5882"/>
        </w:tabs>
        <w:kinsoku w:val="0"/>
        <w:wordWrap/>
        <w:overflowPunct/>
        <w:topLinePunct w:val="0"/>
        <w:autoSpaceDE w:val="0"/>
        <w:autoSpaceDN w:val="0"/>
        <w:bidi w:val="0"/>
        <w:adjustRightInd w:val="0"/>
        <w:snapToGrid w:val="0"/>
        <w:spacing w:before="169" w:line="360" w:lineRule="auto"/>
        <w:jc w:val="left"/>
        <w:textAlignment w:val="baseline"/>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bookmarkStart w:id="16" w:name="_Toc13508"/>
      <w:r>
        <w:rPr>
          <w:rFonts w:hint="eastAsia" w:ascii="宋体" w:hAnsi="宋体" w:eastAsia="宋体" w:cs="宋体"/>
          <w:sz w:val="24"/>
          <w:szCs w:val="24"/>
        </w:rPr>
        <w:t>招标人中国机械总院集团海西（福建）分院有限公司根据</w:t>
      </w:r>
      <w:r>
        <w:rPr>
          <w:rFonts w:hint="eastAsia" w:ascii="宋体" w:hAnsi="宋体" w:eastAsia="宋体" w:cs="宋体"/>
          <w:sz w:val="24"/>
          <w:szCs w:val="24"/>
          <w:lang w:val="en-US" w:eastAsia="zh-CN"/>
        </w:rPr>
        <w:t>子公司</w:t>
      </w:r>
      <w:r>
        <w:rPr>
          <w:rFonts w:hint="eastAsia" w:ascii="宋体" w:hAnsi="宋体" w:eastAsia="宋体" w:cs="宋体"/>
          <w:sz w:val="24"/>
          <w:szCs w:val="24"/>
        </w:rPr>
        <w:t>生产所需，现决定通过招标方式采购</w:t>
      </w:r>
      <w:r>
        <w:rPr>
          <w:rFonts w:hint="eastAsia" w:ascii="宋体" w:hAnsi="宋体" w:eastAsia="宋体" w:cs="宋体"/>
          <w:sz w:val="24"/>
          <w:szCs w:val="24"/>
          <w:lang w:eastAsia="zh-CN"/>
        </w:rPr>
        <w:t>，</w:t>
      </w:r>
      <w:r>
        <w:rPr>
          <w:rFonts w:hint="eastAsia" w:ascii="宋体" w:hAnsi="宋体" w:eastAsia="宋体" w:cs="宋体"/>
          <w:sz w:val="24"/>
          <w:szCs w:val="24"/>
        </w:rPr>
        <w:t>招标编号：</w:t>
      </w:r>
      <w:r>
        <w:rPr>
          <w:rFonts w:hint="eastAsia" w:ascii="宋体" w:hAnsi="宋体" w:eastAsia="宋体" w:cs="宋体"/>
          <w:sz w:val="24"/>
          <w:szCs w:val="24"/>
          <w:u w:val="single"/>
          <w:lang w:val="en-US" w:eastAsia="zh-CN"/>
        </w:rPr>
        <w:t xml:space="preserve"> HXZB2026082001    </w:t>
      </w:r>
      <w:r>
        <w:rPr>
          <w:rFonts w:hint="eastAsia" w:ascii="宋体" w:hAnsi="宋体" w:eastAsia="宋体" w:cs="宋体"/>
          <w:sz w:val="24"/>
          <w:szCs w:val="24"/>
        </w:rPr>
        <w:t>，项目名称：</w:t>
      </w:r>
      <w:r>
        <w:rPr>
          <w:rFonts w:hint="eastAsia" w:ascii="宋体" w:hAnsi="宋体" w:eastAsia="宋体" w:cs="宋体"/>
          <w:sz w:val="24"/>
          <w:szCs w:val="24"/>
          <w:u w:val="single"/>
          <w:lang w:val="en-US" w:eastAsia="zh-CN"/>
        </w:rPr>
        <w:t>真空设备部件</w:t>
      </w:r>
      <w:r>
        <w:rPr>
          <w:rFonts w:hint="eastAsia" w:ascii="宋体" w:hAnsi="宋体" w:eastAsia="宋体" w:cs="宋体"/>
          <w:b w:val="0"/>
          <w:bCs w:val="0"/>
          <w:spacing w:val="-3"/>
          <w:sz w:val="24"/>
          <w:szCs w:val="24"/>
          <w:u w:val="single"/>
        </w:rPr>
        <w:t>采购项目</w:t>
      </w:r>
      <w:r>
        <w:rPr>
          <w:rFonts w:hint="eastAsia" w:ascii="宋体" w:hAnsi="宋体" w:eastAsia="宋体" w:cs="宋体"/>
          <w:sz w:val="24"/>
          <w:szCs w:val="24"/>
        </w:rPr>
        <w:t>。</w:t>
      </w:r>
      <w:bookmarkEnd w:id="15"/>
      <w:r>
        <w:rPr>
          <w:rFonts w:hint="eastAsia" w:ascii="宋体" w:hAnsi="宋体" w:eastAsia="宋体" w:cs="宋体"/>
          <w:sz w:val="24"/>
          <w:szCs w:val="24"/>
        </w:rPr>
        <w:t>我们将通过招标方式，最后确定中标单位。</w:t>
      </w:r>
      <w:bookmarkEnd w:id="16"/>
    </w:p>
    <w:p w14:paraId="505717A5">
      <w:pPr>
        <w:widowControl w:val="0"/>
        <w:numPr>
          <w:ilvl w:val="0"/>
          <w:numId w:val="1"/>
        </w:numPr>
        <w:kinsoku/>
        <w:spacing w:line="360" w:lineRule="auto"/>
        <w:ind w:left="0" w:leftChars="0" w:firstLine="480" w:firstLineChars="200"/>
        <w:rPr>
          <w:rFonts w:hint="eastAsia" w:ascii="宋体" w:hAnsi="宋体" w:eastAsia="宋体" w:cs="宋体"/>
          <w:color w:val="auto"/>
          <w:sz w:val="24"/>
          <w:szCs w:val="24"/>
        </w:rPr>
      </w:pPr>
      <w:bookmarkStart w:id="17" w:name="_Toc3520"/>
      <w:bookmarkStart w:id="18" w:name="_Toc3942"/>
      <w:bookmarkStart w:id="19" w:name="_Toc23627"/>
      <w:bookmarkStart w:id="20" w:name="_Toc30525"/>
      <w:bookmarkStart w:id="21" w:name="_Toc30218"/>
      <w:bookmarkStart w:id="22" w:name="_Toc13304"/>
      <w:r>
        <w:rPr>
          <w:rFonts w:hint="eastAsia" w:ascii="宋体" w:hAnsi="宋体" w:eastAsia="宋体" w:cs="宋体"/>
          <w:sz w:val="24"/>
          <w:szCs w:val="24"/>
        </w:rPr>
        <w:t>招标内容、型号规格（见下表）</w:t>
      </w:r>
      <w:bookmarkEnd w:id="17"/>
      <w:bookmarkEnd w:id="18"/>
      <w:bookmarkEnd w:id="19"/>
      <w:bookmarkEnd w:id="20"/>
      <w:bookmarkEnd w:id="21"/>
      <w:bookmarkEnd w:id="22"/>
    </w:p>
    <w:p w14:paraId="19966163">
      <w:pPr>
        <w:widowControl w:val="0"/>
        <w:numPr>
          <w:ilvl w:val="0"/>
          <w:numId w:val="1"/>
        </w:numPr>
        <w:kinsoku/>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color w:val="auto"/>
          <w:sz w:val="24"/>
          <w:szCs w:val="24"/>
        </w:rPr>
        <w:t xml:space="preserve">范围：本招标项目划分为 </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个标段</w:t>
      </w:r>
      <w:r>
        <w:rPr>
          <w:rFonts w:hint="eastAsia" w:ascii="宋体" w:hAnsi="宋体" w:eastAsia="宋体" w:cs="宋体"/>
          <w:color w:val="auto"/>
          <w:sz w:val="24"/>
          <w:szCs w:val="24"/>
          <w:lang w:val="en-US" w:eastAsia="zh-CN"/>
        </w:rPr>
        <w:t>,见下表</w:t>
      </w:r>
      <w:r>
        <w:rPr>
          <w:rFonts w:hint="eastAsia" w:ascii="宋体" w:hAnsi="宋体" w:eastAsia="宋体" w:cs="宋体"/>
          <w:color w:val="auto"/>
          <w:sz w:val="24"/>
          <w:szCs w:val="24"/>
        </w:rPr>
        <w:t>：</w:t>
      </w:r>
    </w:p>
    <w:tbl>
      <w:tblPr>
        <w:tblStyle w:val="25"/>
        <w:tblpPr w:leftFromText="180" w:rightFromText="180" w:vertAnchor="text" w:horzAnchor="margin" w:tblpXSpec="center" w:tblpY="75"/>
        <w:tblOverlap w:val="never"/>
        <w:tblW w:w="1047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3"/>
        <w:gridCol w:w="3810"/>
        <w:gridCol w:w="1725"/>
        <w:gridCol w:w="660"/>
        <w:gridCol w:w="1215"/>
        <w:gridCol w:w="1017"/>
        <w:gridCol w:w="1056"/>
      </w:tblGrid>
      <w:tr w14:paraId="357F1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993" w:type="dxa"/>
            <w:vAlign w:val="center"/>
          </w:tcPr>
          <w:p w14:paraId="4A22FE4B">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3810" w:type="dxa"/>
            <w:tcBorders>
              <w:right w:val="single" w:color="auto" w:sz="4" w:space="0"/>
            </w:tcBorders>
            <w:vAlign w:val="center"/>
          </w:tcPr>
          <w:p w14:paraId="3871A2E3">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采购项目</w:t>
            </w:r>
            <w:r>
              <w:rPr>
                <w:rFonts w:hint="eastAsia" w:ascii="宋体" w:hAnsi="宋体" w:eastAsia="宋体" w:cs="宋体"/>
                <w:b/>
                <w:bCs/>
                <w:color w:val="auto"/>
                <w:sz w:val="24"/>
                <w:szCs w:val="24"/>
              </w:rPr>
              <w:t>名称</w:t>
            </w:r>
          </w:p>
        </w:tc>
        <w:tc>
          <w:tcPr>
            <w:tcW w:w="1725" w:type="dxa"/>
            <w:tcBorders>
              <w:left w:val="single" w:color="auto" w:sz="4" w:space="0"/>
            </w:tcBorders>
            <w:vAlign w:val="center"/>
          </w:tcPr>
          <w:p w14:paraId="3577DB4D">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技术要求</w:t>
            </w:r>
          </w:p>
        </w:tc>
        <w:tc>
          <w:tcPr>
            <w:tcW w:w="660" w:type="dxa"/>
            <w:tcBorders>
              <w:left w:val="single" w:color="auto" w:sz="4" w:space="0"/>
            </w:tcBorders>
            <w:vAlign w:val="center"/>
          </w:tcPr>
          <w:p w14:paraId="480672DD">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单位</w:t>
            </w:r>
          </w:p>
        </w:tc>
        <w:tc>
          <w:tcPr>
            <w:tcW w:w="1215" w:type="dxa"/>
            <w:vAlign w:val="center"/>
          </w:tcPr>
          <w:p w14:paraId="5BAD953C">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数量</w:t>
            </w:r>
          </w:p>
        </w:tc>
        <w:tc>
          <w:tcPr>
            <w:tcW w:w="1017" w:type="dxa"/>
            <w:vAlign w:val="center"/>
          </w:tcPr>
          <w:p w14:paraId="428F9E3A">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交货期</w:t>
            </w:r>
          </w:p>
        </w:tc>
        <w:tc>
          <w:tcPr>
            <w:tcW w:w="1056" w:type="dxa"/>
            <w:vAlign w:val="center"/>
          </w:tcPr>
          <w:p w14:paraId="2F1273E3">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备注</w:t>
            </w:r>
          </w:p>
        </w:tc>
      </w:tr>
      <w:tr w14:paraId="71926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93" w:type="dxa"/>
            <w:shd w:val="clear" w:color="auto" w:fill="auto"/>
            <w:vAlign w:val="center"/>
          </w:tcPr>
          <w:p w14:paraId="31F4549A">
            <w:pPr>
              <w:keepNext w:val="0"/>
              <w:keepLines w:val="0"/>
              <w:pageBreakBefore w:val="0"/>
              <w:wordWrap/>
              <w:overflowPunct/>
              <w:bidi w:val="0"/>
              <w:spacing w:line="300" w:lineRule="auto"/>
              <w:ind w:left="0" w:leftChars="0" w:right="0"/>
              <w:jc w:val="center"/>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标段一</w:t>
            </w:r>
          </w:p>
        </w:tc>
        <w:tc>
          <w:tcPr>
            <w:tcW w:w="3810" w:type="dxa"/>
            <w:tcBorders>
              <w:right w:val="single" w:color="auto" w:sz="4" w:space="0"/>
            </w:tcBorders>
            <w:shd w:val="clear" w:color="auto" w:fill="auto"/>
            <w:vAlign w:val="center"/>
          </w:tcPr>
          <w:p w14:paraId="78E87E54">
            <w:pPr>
              <w:keepNext w:val="0"/>
              <w:keepLines w:val="0"/>
              <w:pageBreakBefore w:val="0"/>
              <w:wordWrap/>
              <w:overflowPunct/>
              <w:bidi w:val="0"/>
              <w:spacing w:line="300" w:lineRule="auto"/>
              <w:ind w:left="0" w:leftChars="0" w:right="0"/>
              <w:jc w:val="left"/>
              <w:rPr>
                <w:rFonts w:hint="default" w:ascii="宋体" w:hAnsi="宋体" w:eastAsia="宋体" w:cs="宋体"/>
                <w:snapToGrid w:val="0"/>
                <w:color w:val="auto"/>
                <w:sz w:val="21"/>
                <w:szCs w:val="21"/>
                <w:lang w:val="en-US" w:eastAsia="zh-CN" w:bidi="ar-SA"/>
              </w:rPr>
            </w:pPr>
            <w:r>
              <w:rPr>
                <w:rFonts w:hint="default" w:ascii="宋体" w:hAnsi="宋体" w:eastAsia="宋体" w:cs="宋体"/>
                <w:color w:val="auto"/>
                <w:sz w:val="21"/>
                <w:szCs w:val="21"/>
                <w:lang w:val="en-US" w:eastAsia="zh-CN"/>
              </w:rPr>
              <w:t>高真空多功能控型机加压加热及控制系统</w:t>
            </w:r>
          </w:p>
        </w:tc>
        <w:tc>
          <w:tcPr>
            <w:tcW w:w="1725" w:type="dxa"/>
            <w:tcBorders>
              <w:left w:val="single" w:color="auto" w:sz="4" w:space="0"/>
            </w:tcBorders>
            <w:shd w:val="clear" w:color="auto" w:fill="auto"/>
            <w:vAlign w:val="center"/>
          </w:tcPr>
          <w:p w14:paraId="1B1F3A0F">
            <w:pPr>
              <w:keepNext w:val="0"/>
              <w:keepLines w:val="0"/>
              <w:pageBreakBefore w:val="0"/>
              <w:wordWrap/>
              <w:overflowPunct/>
              <w:bidi w:val="0"/>
              <w:spacing w:line="300" w:lineRule="auto"/>
              <w:ind w:left="0" w:leftChars="0" w:right="0"/>
              <w:jc w:val="center"/>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详见技术要求部分</w:t>
            </w:r>
          </w:p>
        </w:tc>
        <w:tc>
          <w:tcPr>
            <w:tcW w:w="660" w:type="dxa"/>
            <w:tcBorders>
              <w:left w:val="single" w:color="auto" w:sz="4" w:space="0"/>
            </w:tcBorders>
            <w:shd w:val="clear" w:color="auto" w:fill="auto"/>
            <w:vAlign w:val="center"/>
          </w:tcPr>
          <w:p w14:paraId="2F7804F2">
            <w:pPr>
              <w:keepNext w:val="0"/>
              <w:keepLines w:val="0"/>
              <w:pageBreakBefore w:val="0"/>
              <w:wordWrap/>
              <w:overflowPunct/>
              <w:bidi w:val="0"/>
              <w:spacing w:line="300" w:lineRule="auto"/>
              <w:ind w:left="0" w:leftChars="0" w:right="0"/>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批</w:t>
            </w:r>
          </w:p>
        </w:tc>
        <w:tc>
          <w:tcPr>
            <w:tcW w:w="1215" w:type="dxa"/>
            <w:shd w:val="clear" w:color="auto" w:fill="auto"/>
            <w:vAlign w:val="center"/>
          </w:tcPr>
          <w:p w14:paraId="074FEC88">
            <w:pPr>
              <w:keepNext w:val="0"/>
              <w:keepLines w:val="0"/>
              <w:pageBreakBefore w:val="0"/>
              <w:wordWrap/>
              <w:overflowPunct/>
              <w:bidi w:val="0"/>
              <w:spacing w:line="300" w:lineRule="auto"/>
              <w:ind w:left="0" w:leftChars="0" w:right="0"/>
              <w:jc w:val="center"/>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根据现场情况提供方案</w:t>
            </w:r>
          </w:p>
        </w:tc>
        <w:tc>
          <w:tcPr>
            <w:tcW w:w="1017" w:type="dxa"/>
            <w:shd w:val="clear" w:color="auto" w:fill="auto"/>
            <w:vAlign w:val="center"/>
          </w:tcPr>
          <w:p w14:paraId="11423C37">
            <w:pPr>
              <w:keepNext w:val="0"/>
              <w:keepLines w:val="0"/>
              <w:pageBreakBefore w:val="0"/>
              <w:wordWrap/>
              <w:overflowPunct/>
              <w:bidi w:val="0"/>
              <w:spacing w:line="300" w:lineRule="auto"/>
              <w:ind w:left="0" w:leftChars="0" w:right="0"/>
              <w:jc w:val="center"/>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合同签订后3个月内交付</w:t>
            </w:r>
          </w:p>
        </w:tc>
        <w:tc>
          <w:tcPr>
            <w:tcW w:w="1056" w:type="dxa"/>
            <w:vAlign w:val="center"/>
          </w:tcPr>
          <w:p w14:paraId="4487D58B">
            <w:pPr>
              <w:keepNext w:val="0"/>
              <w:keepLines w:val="0"/>
              <w:pageBreakBefore w:val="0"/>
              <w:wordWrap/>
              <w:overflowPunct/>
              <w:bidi w:val="0"/>
              <w:spacing w:line="300" w:lineRule="auto"/>
              <w:ind w:left="0" w:leftChars="0" w:right="0"/>
              <w:jc w:val="center"/>
              <w:rPr>
                <w:rFonts w:hint="eastAsia" w:ascii="宋体" w:hAnsi="宋体" w:eastAsia="宋体" w:cs="宋体"/>
                <w:color w:val="auto"/>
                <w:sz w:val="21"/>
                <w:szCs w:val="21"/>
                <w:lang w:val="en-US" w:eastAsia="zh-CN"/>
              </w:rPr>
            </w:pPr>
          </w:p>
        </w:tc>
      </w:tr>
      <w:tr w14:paraId="7F6AC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93" w:type="dxa"/>
            <w:shd w:val="clear" w:color="auto" w:fill="auto"/>
            <w:vAlign w:val="center"/>
          </w:tcPr>
          <w:p w14:paraId="3DEE723C">
            <w:pPr>
              <w:keepNext w:val="0"/>
              <w:keepLines w:val="0"/>
              <w:pageBreakBefore w:val="0"/>
              <w:wordWrap/>
              <w:overflowPunct/>
              <w:bidi w:val="0"/>
              <w:spacing w:line="300" w:lineRule="auto"/>
              <w:ind w:left="0" w:leftChars="0" w:right="0"/>
              <w:jc w:val="center"/>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标段二</w:t>
            </w:r>
          </w:p>
        </w:tc>
        <w:tc>
          <w:tcPr>
            <w:tcW w:w="3810" w:type="dxa"/>
            <w:tcBorders>
              <w:right w:val="single" w:color="auto" w:sz="4" w:space="0"/>
            </w:tcBorders>
            <w:shd w:val="clear" w:color="auto" w:fill="auto"/>
            <w:vAlign w:val="center"/>
          </w:tcPr>
          <w:p w14:paraId="3B2E3A60">
            <w:pPr>
              <w:keepNext w:val="0"/>
              <w:keepLines w:val="0"/>
              <w:pageBreakBefore w:val="0"/>
              <w:wordWrap/>
              <w:overflowPunct/>
              <w:bidi w:val="0"/>
              <w:spacing w:line="300" w:lineRule="auto"/>
              <w:ind w:left="0" w:leftChars="0" w:right="0"/>
              <w:jc w:val="left"/>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sz w:val="21"/>
                <w:szCs w:val="21"/>
                <w:lang w:val="en-US" w:eastAsia="zh-CN"/>
              </w:rPr>
              <w:t>高真空多功能控型机电器控制配套系统</w:t>
            </w:r>
          </w:p>
        </w:tc>
        <w:tc>
          <w:tcPr>
            <w:tcW w:w="1725" w:type="dxa"/>
            <w:tcBorders>
              <w:left w:val="single" w:color="auto" w:sz="4" w:space="0"/>
            </w:tcBorders>
            <w:shd w:val="clear" w:color="auto" w:fill="auto"/>
            <w:vAlign w:val="center"/>
          </w:tcPr>
          <w:p w14:paraId="378C13AF">
            <w:pPr>
              <w:keepNext w:val="0"/>
              <w:keepLines w:val="0"/>
              <w:pageBreakBefore w:val="0"/>
              <w:wordWrap/>
              <w:overflowPunct/>
              <w:bidi w:val="0"/>
              <w:spacing w:line="300" w:lineRule="auto"/>
              <w:ind w:left="0" w:leftChars="0" w:right="0"/>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详见技术要求部分</w:t>
            </w:r>
          </w:p>
        </w:tc>
        <w:tc>
          <w:tcPr>
            <w:tcW w:w="660" w:type="dxa"/>
            <w:tcBorders>
              <w:left w:val="single" w:color="auto" w:sz="4" w:space="0"/>
            </w:tcBorders>
            <w:shd w:val="clear" w:color="auto" w:fill="auto"/>
            <w:vAlign w:val="center"/>
          </w:tcPr>
          <w:p w14:paraId="54E671E0">
            <w:pPr>
              <w:keepNext w:val="0"/>
              <w:keepLines w:val="0"/>
              <w:pageBreakBefore w:val="0"/>
              <w:wordWrap/>
              <w:overflowPunct/>
              <w:bidi w:val="0"/>
              <w:spacing w:line="300" w:lineRule="auto"/>
              <w:ind w:left="0" w:leftChars="0" w:right="0"/>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批</w:t>
            </w:r>
          </w:p>
        </w:tc>
        <w:tc>
          <w:tcPr>
            <w:tcW w:w="1215" w:type="dxa"/>
            <w:shd w:val="clear" w:color="auto" w:fill="auto"/>
            <w:vAlign w:val="center"/>
          </w:tcPr>
          <w:p w14:paraId="6145A4FB">
            <w:pPr>
              <w:keepNext w:val="0"/>
              <w:keepLines w:val="0"/>
              <w:pageBreakBefore w:val="0"/>
              <w:wordWrap/>
              <w:overflowPunct/>
              <w:bidi w:val="0"/>
              <w:spacing w:line="300" w:lineRule="auto"/>
              <w:ind w:left="0" w:leftChars="0" w:right="0"/>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根据现场情况提供方案</w:t>
            </w:r>
          </w:p>
        </w:tc>
        <w:tc>
          <w:tcPr>
            <w:tcW w:w="1017" w:type="dxa"/>
            <w:shd w:val="clear" w:color="auto" w:fill="auto"/>
            <w:vAlign w:val="center"/>
          </w:tcPr>
          <w:p w14:paraId="40F7394A">
            <w:pPr>
              <w:keepNext w:val="0"/>
              <w:keepLines w:val="0"/>
              <w:pageBreakBefore w:val="0"/>
              <w:wordWrap/>
              <w:overflowPunct/>
              <w:bidi w:val="0"/>
              <w:spacing w:line="300" w:lineRule="auto"/>
              <w:ind w:left="0" w:leftChars="0" w:right="0"/>
              <w:jc w:val="center"/>
              <w:rPr>
                <w:rFonts w:hint="eastAsia" w:ascii="宋体" w:hAnsi="宋体" w:eastAsia="宋体" w:cs="宋体"/>
                <w:color w:val="auto"/>
                <w:sz w:val="21"/>
                <w:szCs w:val="21"/>
                <w:lang w:val="en-US" w:eastAsia="zh-CN"/>
              </w:rPr>
            </w:pPr>
            <w:r>
              <w:rPr>
                <w:rFonts w:hint="eastAsia" w:ascii="宋体" w:hAnsi="宋体" w:eastAsia="宋体" w:cs="宋体"/>
                <w:snapToGrid w:val="0"/>
                <w:color w:val="auto"/>
                <w:sz w:val="21"/>
                <w:szCs w:val="21"/>
                <w:lang w:val="en-US" w:eastAsia="zh-CN" w:bidi="ar-SA"/>
              </w:rPr>
              <w:t>合同签订后3个月内交付</w:t>
            </w:r>
          </w:p>
        </w:tc>
        <w:tc>
          <w:tcPr>
            <w:tcW w:w="1056" w:type="dxa"/>
            <w:vAlign w:val="center"/>
          </w:tcPr>
          <w:p w14:paraId="181F2C24">
            <w:pPr>
              <w:keepNext w:val="0"/>
              <w:keepLines w:val="0"/>
              <w:pageBreakBefore w:val="0"/>
              <w:wordWrap/>
              <w:overflowPunct/>
              <w:bidi w:val="0"/>
              <w:spacing w:line="300" w:lineRule="auto"/>
              <w:ind w:left="0" w:leftChars="0" w:right="0"/>
              <w:jc w:val="center"/>
              <w:rPr>
                <w:rFonts w:hint="eastAsia" w:ascii="宋体" w:hAnsi="宋体" w:eastAsia="宋体" w:cs="宋体"/>
                <w:color w:val="auto"/>
                <w:sz w:val="21"/>
                <w:szCs w:val="21"/>
                <w:lang w:val="en-US" w:eastAsia="zh-CN"/>
              </w:rPr>
            </w:pPr>
          </w:p>
        </w:tc>
      </w:tr>
      <w:tr w14:paraId="44ECD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0476" w:type="dxa"/>
            <w:gridSpan w:val="7"/>
            <w:shd w:val="clear" w:color="auto" w:fill="auto"/>
            <w:vAlign w:val="center"/>
          </w:tcPr>
          <w:p w14:paraId="029E6007">
            <w:pPr>
              <w:keepNext w:val="0"/>
              <w:keepLines w:val="0"/>
              <w:pageBreakBefore w:val="0"/>
              <w:wordWrap/>
              <w:overflowPunct/>
              <w:bidi w:val="0"/>
              <w:spacing w:line="300" w:lineRule="auto"/>
              <w:ind w:left="0" w:leftChars="0" w:right="0"/>
              <w:jc w:val="center"/>
              <w:rPr>
                <w:rFonts w:hint="default" w:ascii="宋体" w:hAnsi="宋体" w:eastAsia="宋体" w:cs="宋体"/>
                <w:snapToGrid w:val="0"/>
                <w:color w:val="auto"/>
                <w:sz w:val="21"/>
                <w:szCs w:val="21"/>
                <w:lang w:val="en-US" w:eastAsia="zh-CN" w:bidi="ar-SA"/>
              </w:rPr>
            </w:pPr>
            <w:r>
              <w:rPr>
                <w:rFonts w:hint="eastAsia" w:ascii="宋体" w:hAnsi="宋体" w:eastAsia="宋体" w:cs="宋体"/>
                <w:color w:val="auto"/>
                <w:sz w:val="24"/>
                <w:szCs w:val="24"/>
              </w:rPr>
              <w:t>参数详见招标文件技术要求</w:t>
            </w:r>
          </w:p>
        </w:tc>
      </w:tr>
    </w:tbl>
    <w:p w14:paraId="7C04D64B">
      <w:pPr>
        <w:widowControl w:val="0"/>
        <w:numPr>
          <w:ilvl w:val="0"/>
          <w:numId w:val="0"/>
        </w:numPr>
        <w:kinsoku/>
        <w:spacing w:line="360" w:lineRule="auto"/>
        <w:ind w:leftChars="200"/>
        <w:rPr>
          <w:rFonts w:hint="eastAsia" w:ascii="宋体" w:hAnsi="宋体" w:eastAsia="宋体" w:cs="宋体"/>
          <w:color w:val="auto"/>
          <w:sz w:val="24"/>
          <w:szCs w:val="24"/>
        </w:rPr>
      </w:pPr>
    </w:p>
    <w:p w14:paraId="15708376">
      <w:pPr>
        <w:widowControl w:val="0"/>
        <w:numPr>
          <w:ilvl w:val="0"/>
          <w:numId w:val="1"/>
        </w:numPr>
        <w:kinsoku/>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sz w:val="24"/>
          <w:szCs w:val="24"/>
        </w:rPr>
        <w:t>交货地</w:t>
      </w:r>
      <w:r>
        <w:rPr>
          <w:rFonts w:hint="eastAsia" w:ascii="宋体" w:hAnsi="宋体" w:eastAsia="宋体" w:cs="宋体"/>
          <w:color w:val="auto"/>
          <w:sz w:val="24"/>
          <w:szCs w:val="24"/>
        </w:rPr>
        <w:t>点：指定地点。</w:t>
      </w:r>
      <w:bookmarkStart w:id="23" w:name="_Toc5828"/>
    </w:p>
    <w:p w14:paraId="1F66257B">
      <w:pPr>
        <w:widowControl w:val="0"/>
        <w:numPr>
          <w:ilvl w:val="0"/>
          <w:numId w:val="1"/>
        </w:numPr>
        <w:kinsoku/>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投标截止时间：</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rPr>
        <w:t>日</w:t>
      </w:r>
      <w:bookmarkEnd w:id="23"/>
      <w:r>
        <w:rPr>
          <w:rFonts w:hint="eastAsia" w:ascii="宋体" w:hAnsi="宋体" w:eastAsia="宋体" w:cs="宋体"/>
          <w:color w:val="auto"/>
          <w:sz w:val="24"/>
          <w:szCs w:val="24"/>
          <w:lang w:val="en-US" w:eastAsia="zh-CN"/>
        </w:rPr>
        <w:t>15：00（北京时间）</w:t>
      </w:r>
    </w:p>
    <w:p w14:paraId="0ECEAD1E">
      <w:pPr>
        <w:widowControl w:val="0"/>
        <w:numPr>
          <w:ilvl w:val="0"/>
          <w:numId w:val="1"/>
        </w:numPr>
        <w:kinsoku/>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投标文件的递交：</w:t>
      </w:r>
      <w:r>
        <w:rPr>
          <w:rFonts w:hint="eastAsia" w:ascii="宋体" w:hAnsi="宋体" w:eastAsia="宋体" w:cs="宋体"/>
          <w:color w:val="auto"/>
          <w:sz w:val="24"/>
          <w:szCs w:val="24"/>
          <w:highlight w:val="yellow"/>
          <w:lang w:val="en-US" w:eastAsia="zh-CN"/>
        </w:rPr>
        <w:t>本次通过线上平台及纸质递交方式同步进行</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拟参加本次投标的单位请于投标截止时间之前，</w:t>
      </w:r>
      <w:r>
        <w:rPr>
          <w:rFonts w:hint="eastAsia" w:ascii="宋体" w:hAnsi="宋体" w:eastAsia="宋体" w:cs="宋体"/>
          <w:color w:val="auto"/>
          <w:sz w:val="24"/>
          <w:szCs w:val="24"/>
          <w:lang w:val="en-US" w:eastAsia="zh-CN"/>
        </w:rPr>
        <w:t>注册平台并进行报价，后</w:t>
      </w:r>
      <w:r>
        <w:rPr>
          <w:rFonts w:hint="eastAsia" w:ascii="宋体" w:hAnsi="宋体" w:eastAsia="宋体" w:cs="宋体"/>
          <w:color w:val="auto"/>
          <w:sz w:val="24"/>
          <w:szCs w:val="24"/>
        </w:rPr>
        <w:t>将密封并加盖公章的文件袋，用特快专递方式邮寄到我单位（投标文件正本一份，副本四份），原则上不接受当面递送。</w:t>
      </w:r>
    </w:p>
    <w:p w14:paraId="4C226329">
      <w:pPr>
        <w:widowControl w:val="0"/>
        <w:numPr>
          <w:ilvl w:val="0"/>
          <w:numId w:val="1"/>
        </w:numPr>
        <w:kinsoku/>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color w:val="auto"/>
          <w:sz w:val="24"/>
          <w:szCs w:val="24"/>
        </w:rPr>
        <w:t>开标时间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rPr>
        <w:t>日</w:t>
      </w:r>
      <w:bookmarkStart w:id="24" w:name="_Toc654"/>
      <w:bookmarkStart w:id="25" w:name="_Toc9339"/>
      <w:bookmarkStart w:id="26" w:name="_Toc27635"/>
      <w:bookmarkStart w:id="27" w:name="_Toc24591"/>
      <w:bookmarkStart w:id="28" w:name="_Toc7018"/>
      <w:bookmarkStart w:id="29" w:name="_Toc30159"/>
      <w:r>
        <w:rPr>
          <w:rFonts w:hint="eastAsia" w:ascii="宋体" w:hAnsi="宋体" w:eastAsia="宋体" w:cs="宋体"/>
          <w:color w:val="auto"/>
          <w:sz w:val="24"/>
          <w:szCs w:val="24"/>
          <w:lang w:val="en-US" w:eastAsia="zh-CN"/>
        </w:rPr>
        <w:t>15：00（北京时间）</w:t>
      </w:r>
    </w:p>
    <w:p w14:paraId="45738703">
      <w:pPr>
        <w:widowControl w:val="0"/>
        <w:numPr>
          <w:ilvl w:val="0"/>
          <w:numId w:val="1"/>
        </w:numPr>
        <w:kinsoku/>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相关要求：</w:t>
      </w:r>
      <w:bookmarkEnd w:id="24"/>
      <w:bookmarkEnd w:id="25"/>
      <w:bookmarkEnd w:id="26"/>
      <w:bookmarkEnd w:id="27"/>
      <w:bookmarkEnd w:id="28"/>
      <w:bookmarkEnd w:id="29"/>
    </w:p>
    <w:p w14:paraId="0D9BD387">
      <w:pPr>
        <w:widowControl w:val="0"/>
        <w:kinsoku/>
        <w:spacing w:line="360" w:lineRule="auto"/>
        <w:ind w:firstLine="420" w:firstLineChars="200"/>
        <w:rPr>
          <w:rFonts w:hint="eastAsia" w:ascii="宋体" w:hAnsi="宋体" w:eastAsia="宋体" w:cs="宋体"/>
          <w:sz w:val="24"/>
          <w:szCs w:val="24"/>
        </w:rPr>
      </w:pP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fldChar w:fldCharType="begin"/>
      </w:r>
      <w:r>
        <w:rPr>
          <w:rFonts w:hint="eastAsia" w:ascii="宋体" w:hAnsi="宋体" w:eastAsia="宋体" w:cs="宋体"/>
        </w:rPr>
        <w:instrText xml:space="preserve"> HYPERLINK "http://www.haosou.com/s?q=%E6%8A%A5%E4%BB%B7%E5%8D%95&amp;ie=utf-8&amp;src=wenda_link" </w:instrText>
      </w:r>
      <w:r>
        <w:rPr>
          <w:rFonts w:hint="eastAsia" w:ascii="宋体" w:hAnsi="宋体" w:eastAsia="宋体" w:cs="宋体"/>
        </w:rPr>
        <w:fldChar w:fldCharType="separate"/>
      </w:r>
      <w:r>
        <w:rPr>
          <w:rFonts w:hint="eastAsia" w:ascii="宋体" w:hAnsi="宋体" w:eastAsia="宋体" w:cs="宋体"/>
          <w:sz w:val="24"/>
          <w:szCs w:val="24"/>
        </w:rPr>
        <w:t>投标报价单需按照我公司提供的样表填写，</w:t>
      </w:r>
      <w:r>
        <w:rPr>
          <w:rFonts w:hint="eastAsia" w:ascii="宋体" w:hAnsi="宋体" w:eastAsia="宋体" w:cs="宋体"/>
          <w:sz w:val="24"/>
          <w:szCs w:val="24"/>
        </w:rPr>
        <w:fldChar w:fldCharType="end"/>
      </w:r>
      <w:r>
        <w:rPr>
          <w:rFonts w:hint="eastAsia" w:ascii="宋体" w:hAnsi="宋体" w:eastAsia="宋体" w:cs="宋体"/>
          <w:sz w:val="24"/>
          <w:szCs w:val="24"/>
        </w:rPr>
        <w:t>特殊情况可稍作调整，内容必须填写完整、真实和准确。除投标报价表外，不得对文件格式和内容进行修改，如发现投标文件未按我公司提供的招标文件格式填写，将视为废标。</w:t>
      </w:r>
    </w:p>
    <w:p w14:paraId="6D6619CF">
      <w:pPr>
        <w:widowControl w:val="0"/>
        <w:kinsoku/>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密封文件袋上必须标注项目名称和投标单位名称,并注明“正式开标前，不得开启”字样。投标人投标时应提供加盖单位公章的项目技术方案、供货业绩及营业执照副本、资质证书、</w:t>
      </w:r>
      <w:r>
        <w:rPr>
          <w:rFonts w:hint="eastAsia" w:ascii="宋体" w:hAnsi="宋体" w:eastAsia="宋体" w:cs="宋体"/>
        </w:rPr>
        <w:fldChar w:fldCharType="begin"/>
      </w:r>
      <w:r>
        <w:rPr>
          <w:rFonts w:hint="eastAsia" w:ascii="宋体" w:hAnsi="宋体" w:eastAsia="宋体" w:cs="宋体"/>
        </w:rPr>
        <w:instrText xml:space="preserve"> HYPERLINK "https://baike.baidu.com/item/%E5%AE%89%E5%85%A8%E7%94%9F%E4%BA%A7%E8%AE%B8%E5%8F%AF%E8%AF%81" </w:instrText>
      </w:r>
      <w:r>
        <w:rPr>
          <w:rFonts w:hint="eastAsia" w:ascii="宋体" w:hAnsi="宋体" w:eastAsia="宋体" w:cs="宋体"/>
        </w:rPr>
        <w:fldChar w:fldCharType="separate"/>
      </w:r>
      <w:r>
        <w:rPr>
          <w:rFonts w:hint="eastAsia" w:ascii="宋体" w:hAnsi="宋体" w:eastAsia="宋体" w:cs="宋体"/>
          <w:sz w:val="24"/>
          <w:szCs w:val="24"/>
        </w:rPr>
        <w:t>安全生产许可证等</w:t>
      </w:r>
      <w:r>
        <w:rPr>
          <w:rFonts w:hint="eastAsia" w:ascii="宋体" w:hAnsi="宋体" w:eastAsia="宋体" w:cs="宋体"/>
          <w:sz w:val="24"/>
          <w:szCs w:val="24"/>
        </w:rPr>
        <w:fldChar w:fldCharType="end"/>
      </w:r>
      <w:r>
        <w:rPr>
          <w:rFonts w:hint="eastAsia" w:ascii="宋体" w:hAnsi="宋体" w:eastAsia="宋体" w:cs="宋体"/>
          <w:sz w:val="24"/>
          <w:szCs w:val="24"/>
        </w:rPr>
        <w:t>证书复印件。</w:t>
      </w:r>
    </w:p>
    <w:p w14:paraId="54DCB0EC">
      <w:pPr>
        <w:widowControl w:val="0"/>
        <w:kinsoku/>
        <w:spacing w:line="360" w:lineRule="auto"/>
        <w:ind w:firstLine="480" w:firstLineChars="200"/>
        <w:rPr>
          <w:rFonts w:hint="eastAsia" w:ascii="宋体" w:hAnsi="宋体" w:eastAsia="宋体" w:cs="宋体"/>
          <w:snapToGrid w:val="0"/>
          <w:color w:val="000000"/>
          <w:sz w:val="24"/>
          <w:szCs w:val="24"/>
          <w:lang w:val="en-US" w:eastAsia="zh-CN" w:bidi="ar-SA"/>
        </w:rPr>
      </w:pPr>
      <w:r>
        <w:rPr>
          <w:rFonts w:hint="eastAsia" w:ascii="宋体" w:hAnsi="宋体" w:eastAsia="宋体" w:cs="宋体"/>
          <w:snapToGrid w:val="0"/>
          <w:color w:val="000000"/>
          <w:sz w:val="24"/>
          <w:szCs w:val="24"/>
          <w:lang w:val="en-US" w:eastAsia="zh-CN" w:bidi="ar-SA"/>
        </w:rPr>
        <w:t>（3）本次招标报价税率为13%。</w:t>
      </w:r>
    </w:p>
    <w:p w14:paraId="76B8F163">
      <w:pPr>
        <w:pStyle w:val="9"/>
        <w:ind w:left="0" w:leftChars="0" w:firstLine="480" w:firstLineChars="0"/>
        <w:rPr>
          <w:rFonts w:hint="eastAsia" w:ascii="宋体" w:hAnsi="宋体" w:eastAsia="宋体" w:cs="宋体"/>
          <w:snapToGrid w:val="0"/>
          <w:color w:val="000000"/>
          <w:sz w:val="24"/>
          <w:szCs w:val="24"/>
          <w:lang w:val="en-US" w:eastAsia="zh-CN" w:bidi="ar-SA"/>
        </w:rPr>
      </w:pPr>
      <w:r>
        <w:rPr>
          <w:rFonts w:hint="eastAsia" w:ascii="宋体" w:hAnsi="宋体" w:eastAsia="宋体" w:cs="宋体"/>
          <w:snapToGrid w:val="0"/>
          <w:color w:val="000000"/>
          <w:sz w:val="24"/>
          <w:szCs w:val="24"/>
          <w:lang w:val="en-US" w:eastAsia="zh-CN" w:bidi="ar-SA"/>
        </w:rPr>
        <w:t>（4）营业执照</w:t>
      </w:r>
    </w:p>
    <w:p w14:paraId="59F5F29E">
      <w:pPr>
        <w:pStyle w:val="9"/>
        <w:ind w:left="0" w:leftChars="0" w:firstLine="480" w:firstLineChars="0"/>
        <w:rPr>
          <w:rFonts w:hint="eastAsia" w:ascii="宋体" w:hAnsi="宋体" w:eastAsia="宋体" w:cs="宋体"/>
          <w:color w:val="auto"/>
          <w:sz w:val="24"/>
          <w:szCs w:val="24"/>
          <w:lang w:eastAsia="zh-CN"/>
        </w:rPr>
      </w:pPr>
      <w:r>
        <w:rPr>
          <w:rFonts w:hint="eastAsia" w:ascii="宋体" w:hAnsi="宋体" w:eastAsia="宋体" w:cs="宋体"/>
          <w:snapToGrid w:val="0"/>
          <w:color w:val="000000"/>
          <w:sz w:val="24"/>
          <w:szCs w:val="24"/>
          <w:lang w:val="en-US" w:eastAsia="zh-CN" w:bidi="ar-SA"/>
        </w:rPr>
        <w:t>（5）</w:t>
      </w:r>
      <w:r>
        <w:rPr>
          <w:rFonts w:hint="eastAsia" w:ascii="宋体" w:hAnsi="宋体" w:eastAsia="宋体" w:cs="宋体"/>
          <w:color w:val="auto"/>
          <w:sz w:val="24"/>
          <w:szCs w:val="24"/>
        </w:rPr>
        <w:t>相关体系认证（质量、环境、职业健康安全</w:t>
      </w:r>
      <w:r>
        <w:rPr>
          <w:rFonts w:hint="eastAsia" w:ascii="宋体" w:hAnsi="宋体" w:eastAsia="宋体" w:cs="宋体"/>
          <w:color w:val="auto"/>
          <w:sz w:val="24"/>
          <w:szCs w:val="24"/>
          <w:lang w:eastAsia="zh-CN"/>
        </w:rPr>
        <w:t>）</w:t>
      </w:r>
    </w:p>
    <w:p w14:paraId="7416AD2C">
      <w:pPr>
        <w:pStyle w:val="9"/>
        <w:ind w:left="0" w:leftChars="0" w:firstLine="480"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投标人近三年来承接过合同金额</w:t>
      </w: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rPr>
        <w:t>万元及以上类似业绩且验收合格</w:t>
      </w:r>
      <w:r>
        <w:rPr>
          <w:rFonts w:hint="eastAsia" w:ascii="宋体" w:hAnsi="宋体" w:eastAsia="宋体" w:cs="宋体"/>
          <w:color w:val="auto"/>
          <w:sz w:val="24"/>
          <w:szCs w:val="24"/>
          <w:lang w:val="en-US" w:eastAsia="zh-CN"/>
        </w:rPr>
        <w:t>类似业绩（</w:t>
      </w:r>
      <w:r>
        <w:rPr>
          <w:rFonts w:hint="eastAsia" w:ascii="宋体" w:hAnsi="宋体" w:eastAsia="宋体" w:cs="宋体"/>
          <w:color w:val="auto"/>
          <w:sz w:val="24"/>
          <w:szCs w:val="24"/>
        </w:rPr>
        <w:t>投标人应当提供合同、验收证明复印件（须加盖验收方公章）等证明材料</w:t>
      </w:r>
      <w:r>
        <w:rPr>
          <w:rFonts w:hint="eastAsia" w:ascii="宋体" w:hAnsi="宋体" w:eastAsia="宋体" w:cs="宋体"/>
          <w:color w:val="auto"/>
          <w:sz w:val="24"/>
          <w:szCs w:val="24"/>
          <w:lang w:eastAsia="zh-CN"/>
        </w:rPr>
        <w:t>）</w:t>
      </w:r>
    </w:p>
    <w:p w14:paraId="7FE306B5">
      <w:pPr>
        <w:widowControl w:val="0"/>
        <w:kinsoku/>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highlight w:val="yellow"/>
          <w:lang w:val="en-US" w:eastAsia="zh-CN"/>
        </w:rPr>
        <w:t>预付30%，货到票到验收合格支付60%，质保金10%。</w:t>
      </w:r>
      <w:r>
        <w:rPr>
          <w:rFonts w:hint="eastAsia" w:ascii="宋体" w:hAnsi="宋体" w:eastAsia="宋体" w:cs="宋体"/>
          <w:sz w:val="24"/>
          <w:szCs w:val="24"/>
          <w:lang w:val="en-US" w:eastAsia="zh-CN"/>
        </w:rPr>
        <w:t>需方收到供方货物、检测报告，验收合格后供方提供相应发票，30日内需方将相应合同货款转到供方指定账号，银行承兑支付。</w:t>
      </w:r>
    </w:p>
    <w:p w14:paraId="0C3777BE">
      <w:pPr>
        <w:widowControl w:val="0"/>
        <w:kinsoku/>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投标人须对所售出的产品实行三包:即产品在正常使用情况下发生质量问题时，投标人应按使用方的要求，负责对产品实行包修、包换、包退。</w:t>
      </w:r>
    </w:p>
    <w:p w14:paraId="229D1210">
      <w:pPr>
        <w:widowControl w:val="0"/>
        <w:kinsoku/>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本项目不允许联合体投标。</w:t>
      </w:r>
    </w:p>
    <w:p w14:paraId="0061C566">
      <w:pPr>
        <w:widowControl w:val="0"/>
        <w:kinsoku/>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（注：首次登录前需完成</w:t>
      </w:r>
      <w:r>
        <w:rPr>
          <w:rFonts w:hint="eastAsia" w:ascii="宋体" w:hAnsi="宋体" w:eastAsia="宋体" w:cs="宋体"/>
          <w:sz w:val="24"/>
          <w:szCs w:val="24"/>
          <w:lang w:val="en-US" w:eastAsia="zh-CN"/>
        </w:rPr>
        <w:t>招采平台</w:t>
      </w:r>
      <w:r>
        <w:rPr>
          <w:rFonts w:hint="eastAsia" w:ascii="宋体" w:hAnsi="宋体" w:eastAsia="宋体" w:cs="宋体"/>
          <w:sz w:val="24"/>
          <w:szCs w:val="24"/>
          <w:lang w:eastAsia="zh-CN"/>
        </w:rPr>
        <w:t>免费注册，</w:t>
      </w:r>
      <w:r>
        <w:rPr>
          <w:rFonts w:hint="eastAsia" w:ascii="宋体" w:hAnsi="宋体" w:eastAsia="宋体" w:cs="宋体"/>
          <w:sz w:val="24"/>
          <w:szCs w:val="24"/>
          <w:lang w:val="en-US" w:eastAsia="zh-CN"/>
        </w:rPr>
        <w:t>招采</w:t>
      </w:r>
      <w:r>
        <w:rPr>
          <w:rFonts w:hint="eastAsia" w:ascii="宋体" w:hAnsi="宋体" w:eastAsia="宋体" w:cs="宋体"/>
          <w:sz w:val="24"/>
          <w:szCs w:val="24"/>
          <w:lang w:eastAsia="zh-CN"/>
        </w:rPr>
        <w:t>平台将对供应商注册信息与其提供的附件信息进行一致性检查；注册为一次性工作，生成账号后可长期使用，后续若有需要只需变更及完善相关信息；注册成功后，该账号可用于参与平台上发布的其他招标项目。平台注册成功后，需真实准确完善用户信息，特别是财务信息。</w:t>
      </w:r>
      <w:r>
        <w:rPr>
          <w:rFonts w:hint="eastAsia" w:ascii="宋体" w:hAnsi="宋体" w:eastAsia="宋体" w:cs="宋体"/>
          <w:sz w:val="24"/>
          <w:szCs w:val="24"/>
          <w:lang w:val="en-US" w:eastAsia="zh-CN"/>
        </w:rPr>
        <w:t>可联系:15159159199 林</w:t>
      </w:r>
      <w:r>
        <w:rPr>
          <w:rFonts w:hint="eastAsia" w:ascii="宋体" w:hAnsi="宋体" w:eastAsia="宋体" w:cs="宋体"/>
          <w:sz w:val="24"/>
          <w:szCs w:val="24"/>
          <w:lang w:eastAsia="zh-CN"/>
        </w:rPr>
        <w:t>(工作日9:00-12:00，</w:t>
      </w:r>
      <w:r>
        <w:rPr>
          <w:rFonts w:hint="eastAsia" w:ascii="宋体" w:hAnsi="宋体" w:eastAsia="宋体" w:cs="宋体"/>
          <w:sz w:val="24"/>
          <w:szCs w:val="24"/>
          <w:lang w:val="en-US" w:eastAsia="zh-CN"/>
        </w:rPr>
        <w:t>14:00</w:t>
      </w:r>
      <w:r>
        <w:rPr>
          <w:rFonts w:hint="eastAsia" w:ascii="宋体" w:hAnsi="宋体" w:eastAsia="宋体" w:cs="宋体"/>
          <w:sz w:val="24"/>
          <w:szCs w:val="24"/>
          <w:lang w:eastAsia="zh-CN"/>
        </w:rPr>
        <w:t>-17:00)。）</w:t>
      </w:r>
    </w:p>
    <w:p w14:paraId="7ADB1DE4">
      <w:pPr>
        <w:widowControl w:val="0"/>
        <w:kinsoku/>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凡对本次招标的有关事项需要咨询或有异议时，请</w:t>
      </w:r>
      <w:r>
        <w:rPr>
          <w:rFonts w:hint="eastAsia" w:ascii="宋体" w:hAnsi="宋体" w:eastAsia="宋体" w:cs="宋体"/>
          <w:color w:val="auto"/>
          <w:sz w:val="24"/>
          <w:szCs w:val="24"/>
        </w:rPr>
        <w:t>在</w:t>
      </w:r>
      <w:r>
        <w:rPr>
          <w:rFonts w:hint="eastAsia" w:ascii="宋体" w:hAnsi="宋体" w:eastAsia="宋体" w:cs="宋体"/>
          <w:color w:val="auto"/>
          <w:sz w:val="24"/>
          <w:szCs w:val="24"/>
          <w:lang w:val="en-US" w:eastAsia="zh-CN"/>
        </w:rPr>
        <w:t>2025</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rPr>
        <w:t>日前</w:t>
      </w:r>
      <w:r>
        <w:rPr>
          <w:rFonts w:hint="eastAsia" w:ascii="宋体" w:hAnsi="宋体" w:eastAsia="宋体" w:cs="宋体"/>
          <w:sz w:val="24"/>
          <w:szCs w:val="24"/>
        </w:rPr>
        <w:t>与相关负责人联系。关于评标结果，我们将会在评标结束之后第一时</w:t>
      </w:r>
      <w:bookmarkStart w:id="136" w:name="_GoBack"/>
      <w:bookmarkEnd w:id="136"/>
      <w:r>
        <w:rPr>
          <w:rFonts w:hint="eastAsia" w:ascii="宋体" w:hAnsi="宋体" w:eastAsia="宋体" w:cs="宋体"/>
          <w:sz w:val="24"/>
          <w:szCs w:val="24"/>
        </w:rPr>
        <w:t>间告知。</w:t>
      </w:r>
    </w:p>
    <w:p w14:paraId="0661A7BC">
      <w:pPr>
        <w:pStyle w:val="31"/>
        <w:numPr>
          <w:ilvl w:val="0"/>
          <w:numId w:val="0"/>
        </w:numPr>
        <w:kinsoku/>
        <w:spacing w:line="360" w:lineRule="auto"/>
        <w:ind w:left="420" w:leftChars="200" w:firstLine="0" w:firstLineChars="0"/>
        <w:outlineLvl w:val="9"/>
        <w:rPr>
          <w:rFonts w:hint="eastAsia" w:ascii="宋体" w:hAnsi="宋体" w:eastAsia="宋体" w:cs="宋体"/>
          <w:sz w:val="24"/>
          <w:szCs w:val="24"/>
        </w:rPr>
      </w:pPr>
      <w:bookmarkStart w:id="30" w:name="_Toc30078"/>
      <w:bookmarkStart w:id="31" w:name="_Toc19941"/>
      <w:bookmarkStart w:id="32" w:name="_Toc30147"/>
      <w:bookmarkStart w:id="33" w:name="_Toc4182"/>
      <w:bookmarkStart w:id="34" w:name="_Toc21790"/>
      <w:bookmarkStart w:id="35" w:name="_Toc21113"/>
      <w:bookmarkStart w:id="36" w:name="_Toc20083"/>
      <w:r>
        <w:rPr>
          <w:rFonts w:hint="eastAsia" w:ascii="宋体" w:hAnsi="宋体" w:eastAsia="宋体" w:cs="宋体"/>
          <w:sz w:val="24"/>
          <w:szCs w:val="24"/>
          <w:lang w:val="en-US" w:eastAsia="zh-CN"/>
        </w:rPr>
        <w:t>9.</w:t>
      </w:r>
      <w:r>
        <w:rPr>
          <w:rFonts w:hint="eastAsia" w:ascii="宋体" w:hAnsi="宋体" w:eastAsia="宋体" w:cs="宋体"/>
          <w:sz w:val="24"/>
          <w:szCs w:val="24"/>
        </w:rPr>
        <w:t>联系方式</w:t>
      </w:r>
      <w:bookmarkEnd w:id="30"/>
      <w:bookmarkEnd w:id="31"/>
      <w:bookmarkEnd w:id="32"/>
      <w:bookmarkEnd w:id="33"/>
      <w:bookmarkEnd w:id="34"/>
      <w:bookmarkEnd w:id="35"/>
      <w:bookmarkEnd w:id="36"/>
    </w:p>
    <w:p w14:paraId="4CE0CCD1">
      <w:pPr>
        <w:tabs>
          <w:tab w:val="left" w:pos="144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招标人：中国机械总院集团海西（福建）分院有限公司</w:t>
      </w:r>
    </w:p>
    <w:p w14:paraId="189177DB">
      <w:pPr>
        <w:tabs>
          <w:tab w:val="left" w:pos="1446"/>
        </w:tabs>
        <w:spacing w:line="360" w:lineRule="auto"/>
        <w:ind w:firstLine="480" w:firstLineChars="200"/>
        <w:rPr>
          <w:rFonts w:hint="default" w:ascii="宋体" w:hAnsi="宋体" w:eastAsia="宋体" w:cs="宋体"/>
          <w:sz w:val="24"/>
          <w:szCs w:val="24"/>
          <w:highlight w:val="yellow"/>
          <w:lang w:val="en-US" w:eastAsia="zh-CN"/>
        </w:rPr>
      </w:pPr>
      <w:r>
        <w:rPr>
          <w:rFonts w:hint="eastAsia" w:ascii="宋体" w:hAnsi="宋体" w:eastAsia="宋体" w:cs="宋体"/>
          <w:sz w:val="24"/>
          <w:szCs w:val="24"/>
          <w:highlight w:val="yellow"/>
        </w:rPr>
        <w:t>联系人：</w:t>
      </w:r>
      <w:r>
        <w:rPr>
          <w:rFonts w:hint="eastAsia" w:ascii="宋体" w:hAnsi="宋体" w:eastAsia="宋体" w:cs="宋体"/>
          <w:sz w:val="24"/>
          <w:szCs w:val="24"/>
          <w:highlight w:val="yellow"/>
          <w:lang w:val="en-US" w:eastAsia="zh-CN"/>
        </w:rPr>
        <w:t>翁苏玥</w:t>
      </w:r>
    </w:p>
    <w:p w14:paraId="7F9DC817">
      <w:pPr>
        <w:tabs>
          <w:tab w:val="left" w:pos="1446"/>
        </w:tabs>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rPr>
        <w:t>联系电话：0598-85053281、</w:t>
      </w:r>
      <w:r>
        <w:rPr>
          <w:rFonts w:hint="eastAsia" w:ascii="宋体" w:hAnsi="宋体" w:eastAsia="宋体" w:cs="宋体"/>
          <w:sz w:val="24"/>
          <w:szCs w:val="24"/>
          <w:highlight w:val="yellow"/>
          <w:lang w:val="en-US" w:eastAsia="zh-CN"/>
        </w:rPr>
        <w:t>18506982285</w:t>
      </w:r>
    </w:p>
    <w:p w14:paraId="30C30382">
      <w:pPr>
        <w:tabs>
          <w:tab w:val="left" w:pos="1446"/>
        </w:tabs>
        <w:spacing w:line="360" w:lineRule="auto"/>
        <w:ind w:firstLine="480" w:firstLineChars="200"/>
        <w:rPr>
          <w:rFonts w:hint="eastAsia" w:ascii="宋体" w:hAnsi="宋体" w:eastAsia="宋体" w:cs="宋体"/>
          <w:sz w:val="24"/>
          <w:szCs w:val="24"/>
          <w:highlight w:val="yellow"/>
          <w:lang w:eastAsia="zh-CN"/>
        </w:rPr>
      </w:pPr>
      <w:r>
        <w:rPr>
          <w:rFonts w:hint="eastAsia" w:ascii="宋体" w:hAnsi="宋体" w:eastAsia="宋体" w:cs="宋体"/>
          <w:sz w:val="24"/>
          <w:szCs w:val="24"/>
          <w:highlight w:val="yellow"/>
        </w:rPr>
        <w:t>纪检监督电话：0598-5053285</w:t>
      </w:r>
    </w:p>
    <w:p w14:paraId="34227CA9">
      <w:pPr>
        <w:tabs>
          <w:tab w:val="left" w:pos="1446"/>
        </w:tabs>
        <w:spacing w:line="360" w:lineRule="auto"/>
        <w:ind w:firstLine="480" w:firstLineChars="200"/>
        <w:rPr>
          <w:rFonts w:hint="eastAsia" w:ascii="宋体" w:hAnsi="宋体" w:eastAsia="宋体" w:cs="宋体"/>
          <w:highlight w:val="yellow"/>
        </w:rPr>
      </w:pPr>
      <w:r>
        <w:rPr>
          <w:rFonts w:hint="eastAsia" w:ascii="宋体" w:hAnsi="宋体" w:eastAsia="宋体" w:cs="宋体"/>
          <w:sz w:val="24"/>
          <w:szCs w:val="24"/>
          <w:highlight w:val="yellow"/>
        </w:rPr>
        <w:t>地址：福建省三明市沙县区金沙园开发区创新东路413号</w:t>
      </w:r>
    </w:p>
    <w:p w14:paraId="7DC70607">
      <w:pPr>
        <w:spacing w:line="360" w:lineRule="auto"/>
        <w:rPr>
          <w:rFonts w:hint="eastAsia" w:ascii="宋体" w:hAnsi="宋体" w:eastAsia="宋体" w:cs="宋体"/>
        </w:rPr>
      </w:pPr>
    </w:p>
    <w:p w14:paraId="0F90590B">
      <w:pPr>
        <w:spacing w:line="360" w:lineRule="auto"/>
        <w:ind w:firstLine="459" w:firstLineChars="0"/>
        <w:jc w:val="right"/>
        <w:outlineLvl w:val="9"/>
        <w:rPr>
          <w:rFonts w:hint="eastAsia" w:ascii="宋体" w:hAnsi="宋体" w:eastAsia="宋体" w:cs="宋体"/>
          <w:sz w:val="24"/>
          <w:szCs w:val="24"/>
          <w:lang w:eastAsia="zh-CN"/>
        </w:rPr>
      </w:pPr>
      <w:bookmarkStart w:id="37" w:name="_Toc19147"/>
      <w:bookmarkStart w:id="38" w:name="_Toc322"/>
      <w:bookmarkStart w:id="39" w:name="_Toc20059"/>
      <w:bookmarkStart w:id="40" w:name="_Toc14671"/>
      <w:bookmarkStart w:id="41" w:name="_Toc23207"/>
      <w:r>
        <w:rPr>
          <w:rFonts w:hint="eastAsia" w:ascii="宋体" w:hAnsi="宋体" w:eastAsia="宋体" w:cs="宋体"/>
          <w:sz w:val="24"/>
          <w:szCs w:val="24"/>
        </w:rPr>
        <w:t>中国机械总院集团海西（福建）分院有限公司</w:t>
      </w:r>
      <w:bookmarkEnd w:id="37"/>
      <w:bookmarkEnd w:id="38"/>
      <w:bookmarkEnd w:id="39"/>
      <w:bookmarkEnd w:id="40"/>
      <w:bookmarkEnd w:id="41"/>
    </w:p>
    <w:p w14:paraId="09442243">
      <w:pPr>
        <w:spacing w:line="360" w:lineRule="auto"/>
        <w:ind w:firstLine="459"/>
        <w:jc w:val="center"/>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招标委员会办公室</w:t>
      </w:r>
    </w:p>
    <w:p w14:paraId="666018ED">
      <w:pPr>
        <w:spacing w:line="360" w:lineRule="auto"/>
        <w:ind w:firstLine="6480" w:firstLineChars="2700"/>
        <w:rPr>
          <w:rFonts w:hint="eastAsia" w:ascii="宋体" w:hAnsi="宋体" w:eastAsia="宋体" w:cs="宋体"/>
          <w:sz w:val="24"/>
          <w:szCs w:val="24"/>
        </w:rPr>
      </w:pPr>
      <w:r>
        <w:rPr>
          <w:rFonts w:hint="eastAsia" w:ascii="宋体" w:hAnsi="宋体" w:eastAsia="宋体" w:cs="宋体"/>
          <w:sz w:val="24"/>
          <w:szCs w:val="24"/>
          <w:lang w:val="en-US" w:eastAsia="zh-CN"/>
        </w:rPr>
        <w:t>2025</w:t>
      </w:r>
      <w:r>
        <w:rPr>
          <w:rFonts w:hint="eastAsia" w:ascii="宋体" w:hAnsi="宋体" w:eastAsia="宋体" w:cs="宋体"/>
          <w:sz w:val="24"/>
          <w:szCs w:val="24"/>
        </w:rPr>
        <w:t>年</w:t>
      </w:r>
      <w:r>
        <w:rPr>
          <w:rFonts w:hint="eastAsia" w:ascii="宋体" w:hAnsi="宋体" w:eastAsia="宋体" w:cs="宋体"/>
          <w:sz w:val="24"/>
          <w:szCs w:val="24"/>
          <w:lang w:val="en-US" w:eastAsia="zh-CN"/>
        </w:rPr>
        <w:t>08</w:t>
      </w:r>
      <w:r>
        <w:rPr>
          <w:rFonts w:hint="eastAsia" w:ascii="宋体" w:hAnsi="宋体" w:eastAsia="宋体" w:cs="宋体"/>
          <w:sz w:val="24"/>
          <w:szCs w:val="24"/>
        </w:rPr>
        <w:t>月</w:t>
      </w:r>
      <w:r>
        <w:rPr>
          <w:rFonts w:hint="eastAsia" w:ascii="宋体" w:hAnsi="宋体" w:eastAsia="宋体" w:cs="宋体"/>
          <w:sz w:val="24"/>
          <w:szCs w:val="24"/>
          <w:lang w:val="en-US" w:eastAsia="zh-CN"/>
        </w:rPr>
        <w:t>20</w:t>
      </w:r>
      <w:r>
        <w:rPr>
          <w:rFonts w:hint="eastAsia" w:ascii="宋体" w:hAnsi="宋体" w:eastAsia="宋体" w:cs="宋体"/>
          <w:sz w:val="24"/>
          <w:szCs w:val="24"/>
        </w:rPr>
        <w:t>日</w:t>
      </w:r>
    </w:p>
    <w:p w14:paraId="0234A493">
      <w:pPr>
        <w:jc w:val="center"/>
        <w:outlineLvl w:val="0"/>
        <w:rPr>
          <w:rFonts w:ascii="Arial" w:hAnsi="Arial" w:cs="Arial"/>
          <w:b/>
          <w:sz w:val="32"/>
        </w:rPr>
      </w:pPr>
      <w:bookmarkStart w:id="42" w:name="_Toc32041"/>
      <w:r>
        <w:rPr>
          <w:rFonts w:hint="eastAsia" w:eastAsia="宋体" w:cs="Arial"/>
          <w:b/>
          <w:sz w:val="32"/>
          <w:lang w:val="en-US" w:eastAsia="zh-CN"/>
        </w:rPr>
        <w:t>二、</w:t>
      </w:r>
      <w:r>
        <w:rPr>
          <w:rFonts w:hint="eastAsia" w:ascii="Arial" w:hAnsi="Arial" w:cs="Arial"/>
          <w:b/>
          <w:sz w:val="32"/>
        </w:rPr>
        <w:t>投标人</w:t>
      </w:r>
      <w:r>
        <w:rPr>
          <w:rFonts w:ascii="Arial" w:hAnsi="Arial" w:cs="Arial"/>
          <w:b/>
          <w:sz w:val="32"/>
        </w:rPr>
        <w:t>须知前附表</w:t>
      </w:r>
      <w:bookmarkEnd w:id="42"/>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8"/>
        <w:gridCol w:w="8027"/>
      </w:tblGrid>
      <w:tr w14:paraId="2F4E0B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08" w:type="dxa"/>
            <w:shd w:val="clear" w:color="auto" w:fill="auto"/>
            <w:vAlign w:val="center"/>
          </w:tcPr>
          <w:p w14:paraId="386BEA17">
            <w:pPr>
              <w:jc w:val="center"/>
              <w:rPr>
                <w:rFonts w:ascii="Arial" w:hAnsi="Arial" w:cs="Arial"/>
                <w:szCs w:val="21"/>
              </w:rPr>
            </w:pPr>
            <w:r>
              <w:rPr>
                <w:rFonts w:ascii="Arial" w:hAnsi="Arial" w:cs="Arial"/>
                <w:szCs w:val="21"/>
              </w:rPr>
              <w:t>序号</w:t>
            </w:r>
          </w:p>
        </w:tc>
        <w:tc>
          <w:tcPr>
            <w:tcW w:w="8027" w:type="dxa"/>
            <w:vAlign w:val="center"/>
          </w:tcPr>
          <w:p w14:paraId="6527ADFE">
            <w:pPr>
              <w:jc w:val="center"/>
              <w:rPr>
                <w:rFonts w:ascii="Arial" w:hAnsi="Arial" w:cs="Arial"/>
                <w:szCs w:val="21"/>
              </w:rPr>
            </w:pPr>
            <w:r>
              <w:rPr>
                <w:rFonts w:ascii="Arial" w:hAnsi="Arial" w:cs="Arial"/>
                <w:szCs w:val="21"/>
              </w:rPr>
              <w:t>内容</w:t>
            </w:r>
          </w:p>
        </w:tc>
      </w:tr>
      <w:tr w14:paraId="1E59E9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69" w:hRule="atLeast"/>
          <w:jc w:val="center"/>
        </w:trPr>
        <w:tc>
          <w:tcPr>
            <w:tcW w:w="1108" w:type="dxa"/>
            <w:shd w:val="clear" w:color="auto" w:fill="auto"/>
            <w:vAlign w:val="center"/>
          </w:tcPr>
          <w:p w14:paraId="57178C6D">
            <w:pPr>
              <w:jc w:val="center"/>
              <w:rPr>
                <w:rFonts w:ascii="Arial" w:hAnsi="Arial" w:cs="Arial"/>
                <w:szCs w:val="21"/>
              </w:rPr>
            </w:pPr>
            <w:r>
              <w:rPr>
                <w:rFonts w:ascii="Arial" w:hAnsi="Arial" w:cs="Arial"/>
                <w:szCs w:val="21"/>
              </w:rPr>
              <w:t>1</w:t>
            </w:r>
          </w:p>
        </w:tc>
        <w:tc>
          <w:tcPr>
            <w:tcW w:w="8027" w:type="dxa"/>
            <w:vAlign w:val="center"/>
          </w:tcPr>
          <w:p w14:paraId="183314B8">
            <w:pPr>
              <w:jc w:val="left"/>
              <w:rPr>
                <w:rFonts w:ascii="Arial" w:hAnsi="Arial" w:cs="Arial"/>
                <w:szCs w:val="21"/>
              </w:rPr>
            </w:pPr>
            <w:r>
              <w:rPr>
                <w:rFonts w:ascii="Arial" w:hAnsi="Arial" w:cs="Arial"/>
                <w:b/>
                <w:szCs w:val="21"/>
              </w:rPr>
              <w:t>项目名称：</w:t>
            </w:r>
            <w:r>
              <w:rPr>
                <w:rFonts w:hint="eastAsia" w:ascii="Arial" w:hAnsi="Arial" w:cs="Arial"/>
                <w:szCs w:val="21"/>
              </w:rPr>
              <w:t>中国机械总院集团海西（福建）分院有限公司真空设备部件采购项目</w:t>
            </w:r>
          </w:p>
          <w:p w14:paraId="3CF1F0C1">
            <w:pPr>
              <w:jc w:val="left"/>
              <w:rPr>
                <w:rFonts w:hint="eastAsia" w:ascii="Arial" w:hAnsi="Arial" w:cs="Arial"/>
                <w:b/>
                <w:szCs w:val="21"/>
                <w:lang w:val="en-US" w:eastAsia="zh-CN"/>
              </w:rPr>
            </w:pPr>
            <w:r>
              <w:rPr>
                <w:rFonts w:ascii="Arial" w:hAnsi="Arial" w:cs="Arial"/>
                <w:b/>
                <w:szCs w:val="21"/>
              </w:rPr>
              <w:t>招标编号：</w:t>
            </w:r>
            <w:r>
              <w:rPr>
                <w:rFonts w:hint="eastAsia" w:ascii="Arial" w:hAnsi="Arial" w:cs="Arial"/>
                <w:b w:val="0"/>
                <w:bCs/>
                <w:szCs w:val="21"/>
                <w:lang w:val="en-US" w:eastAsia="zh-CN"/>
              </w:rPr>
              <w:t>HXZB202608</w:t>
            </w:r>
            <w:r>
              <w:rPr>
                <w:rFonts w:hint="eastAsia" w:cs="Arial"/>
                <w:b w:val="0"/>
                <w:bCs/>
                <w:szCs w:val="21"/>
                <w:lang w:val="en-US" w:eastAsia="zh-CN"/>
              </w:rPr>
              <w:t>20</w:t>
            </w:r>
            <w:r>
              <w:rPr>
                <w:rFonts w:hint="eastAsia" w:ascii="Arial" w:hAnsi="Arial" w:cs="Arial"/>
                <w:b w:val="0"/>
                <w:bCs/>
                <w:szCs w:val="21"/>
                <w:lang w:val="en-US" w:eastAsia="zh-CN"/>
              </w:rPr>
              <w:t>01</w:t>
            </w:r>
          </w:p>
          <w:p w14:paraId="0EE983A7">
            <w:pPr>
              <w:ind w:left="1471" w:hanging="1471" w:hangingChars="700"/>
              <w:jc w:val="left"/>
              <w:rPr>
                <w:rFonts w:hint="default" w:ascii="宋体" w:hAnsi="宋体" w:eastAsia="宋体" w:cs="宋体"/>
                <w:color w:val="auto"/>
                <w:sz w:val="21"/>
                <w:szCs w:val="21"/>
                <w:lang w:val="en-US" w:eastAsia="zh-CN"/>
              </w:rPr>
            </w:pPr>
            <w:r>
              <w:rPr>
                <w:rFonts w:hint="eastAsia" w:ascii="Arial" w:hAnsi="Arial" w:cs="Arial"/>
                <w:b/>
                <w:szCs w:val="21"/>
              </w:rPr>
              <w:t>采购内容:</w:t>
            </w:r>
            <w:r>
              <w:rPr>
                <w:rFonts w:hint="eastAsia" w:hAnsi="宋体"/>
                <w:sz w:val="24"/>
              </w:rPr>
              <w:t xml:space="preserve"> </w:t>
            </w:r>
            <w:r>
              <w:rPr>
                <w:rFonts w:hint="eastAsia" w:ascii="宋体" w:hAnsi="宋体" w:eastAsia="宋体" w:cs="宋体"/>
                <w:color w:val="auto"/>
                <w:sz w:val="21"/>
                <w:szCs w:val="21"/>
                <w:lang w:val="en-US" w:eastAsia="zh-CN"/>
              </w:rPr>
              <w:t>标段一：</w:t>
            </w:r>
            <w:r>
              <w:rPr>
                <w:rFonts w:hint="default" w:ascii="宋体" w:hAnsi="宋体" w:eastAsia="宋体" w:cs="宋体"/>
                <w:color w:val="auto"/>
                <w:sz w:val="21"/>
                <w:szCs w:val="21"/>
                <w:lang w:val="en-US" w:eastAsia="zh-CN"/>
              </w:rPr>
              <w:t>高真空多功能控型机加压加热及控制系统</w:t>
            </w:r>
          </w:p>
          <w:p w14:paraId="2FBF0C86">
            <w:pPr>
              <w:ind w:left="1470" w:leftChars="500" w:hanging="420" w:hangingChars="200"/>
              <w:jc w:val="left"/>
              <w:rPr>
                <w:rFonts w:hint="default" w:ascii="Arial" w:hAnsi="Arial" w:eastAsia="宋体" w:cs="Arial"/>
                <w:szCs w:val="21"/>
                <w:lang w:val="en-US" w:eastAsia="zh-CN"/>
              </w:rPr>
            </w:pPr>
            <w:r>
              <w:rPr>
                <w:rFonts w:hint="eastAsia" w:ascii="宋体" w:hAnsi="宋体" w:eastAsia="宋体" w:cs="宋体"/>
                <w:color w:val="auto"/>
                <w:sz w:val="21"/>
                <w:szCs w:val="21"/>
                <w:lang w:val="en-US" w:eastAsia="zh-CN"/>
              </w:rPr>
              <w:t>标段二：高真空多功能控型机电器控制配套系统</w:t>
            </w:r>
          </w:p>
          <w:p w14:paraId="09ED904C">
            <w:pPr>
              <w:ind w:firstLine="1"/>
              <w:rPr>
                <w:rFonts w:ascii="Arial" w:hAnsi="Arial" w:cs="Arial"/>
                <w:szCs w:val="21"/>
              </w:rPr>
            </w:pPr>
            <w:r>
              <w:rPr>
                <w:rFonts w:ascii="Arial" w:hAnsi="Arial" w:cs="Arial"/>
                <w:b/>
                <w:szCs w:val="21"/>
              </w:rPr>
              <w:t>采购方式：</w:t>
            </w:r>
            <w:r>
              <w:rPr>
                <w:rFonts w:hint="eastAsia" w:ascii="Arial" w:hAnsi="Arial" w:cs="Arial"/>
                <w:szCs w:val="21"/>
              </w:rPr>
              <w:t>公开招标</w:t>
            </w:r>
          </w:p>
        </w:tc>
      </w:tr>
      <w:tr w14:paraId="524FB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3" w:hRule="atLeast"/>
          <w:jc w:val="center"/>
        </w:trPr>
        <w:tc>
          <w:tcPr>
            <w:tcW w:w="1108" w:type="dxa"/>
            <w:shd w:val="clear" w:color="auto" w:fill="auto"/>
            <w:vAlign w:val="center"/>
          </w:tcPr>
          <w:p w14:paraId="43F26110">
            <w:pPr>
              <w:jc w:val="center"/>
              <w:rPr>
                <w:rFonts w:ascii="Arial" w:hAnsi="Arial" w:cs="Arial"/>
                <w:szCs w:val="21"/>
              </w:rPr>
            </w:pPr>
            <w:r>
              <w:rPr>
                <w:rFonts w:ascii="Arial" w:hAnsi="Arial" w:cs="Arial"/>
                <w:szCs w:val="21"/>
              </w:rPr>
              <w:t>2</w:t>
            </w:r>
          </w:p>
        </w:tc>
        <w:tc>
          <w:tcPr>
            <w:tcW w:w="8027" w:type="dxa"/>
            <w:vAlign w:val="center"/>
          </w:tcPr>
          <w:p w14:paraId="6B6C0A5F">
            <w:pPr>
              <w:pStyle w:val="12"/>
              <w:rPr>
                <w:rFonts w:ascii="Arial" w:hAnsi="Arial" w:cs="Arial"/>
                <w:szCs w:val="21"/>
              </w:rPr>
            </w:pPr>
            <w:r>
              <w:rPr>
                <w:rFonts w:hint="eastAsia" w:ascii="Arial" w:hAnsi="Arial" w:cs="Arial"/>
                <w:b/>
                <w:szCs w:val="21"/>
              </w:rPr>
              <w:t>采购人</w:t>
            </w:r>
            <w:r>
              <w:rPr>
                <w:rFonts w:ascii="Arial" w:hAnsi="Arial" w:cs="Arial"/>
                <w:szCs w:val="21"/>
              </w:rPr>
              <w:t>：中机(泉州)精密装备有限公司</w:t>
            </w:r>
          </w:p>
          <w:p w14:paraId="0876D0CC">
            <w:pPr>
              <w:rPr>
                <w:rFonts w:ascii="Arial" w:hAnsi="Arial" w:cs="Arial"/>
                <w:szCs w:val="21"/>
              </w:rPr>
            </w:pPr>
            <w:r>
              <w:rPr>
                <w:rFonts w:hint="eastAsia" w:ascii="Arial" w:hAnsi="Arial" w:eastAsia="Arial" w:cs="Arial"/>
                <w:b/>
                <w:snapToGrid w:val="0"/>
                <w:color w:val="000000"/>
                <w:sz w:val="21"/>
                <w:szCs w:val="21"/>
                <w:lang w:val="en-US" w:eastAsia="zh-CN" w:bidi="ar-SA"/>
              </w:rPr>
              <w:t>地址：</w:t>
            </w:r>
            <w:r>
              <w:rPr>
                <w:rFonts w:ascii="Arial" w:hAnsi="Arial" w:cs="Arial"/>
                <w:szCs w:val="21"/>
              </w:rPr>
              <w:t>福建省泉州市洛江区福滨街1号2幢</w:t>
            </w:r>
          </w:p>
        </w:tc>
      </w:tr>
      <w:tr w14:paraId="74B0C8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108" w:type="dxa"/>
            <w:shd w:val="clear" w:color="auto" w:fill="auto"/>
            <w:vAlign w:val="center"/>
          </w:tcPr>
          <w:p w14:paraId="630EC931">
            <w:pPr>
              <w:jc w:val="center"/>
              <w:rPr>
                <w:rFonts w:ascii="Arial" w:hAnsi="Arial" w:cs="Arial"/>
                <w:szCs w:val="21"/>
              </w:rPr>
            </w:pPr>
            <w:r>
              <w:rPr>
                <w:rFonts w:ascii="Arial" w:hAnsi="Arial" w:cs="Arial"/>
                <w:szCs w:val="21"/>
              </w:rPr>
              <w:t>4</w:t>
            </w:r>
          </w:p>
        </w:tc>
        <w:tc>
          <w:tcPr>
            <w:tcW w:w="8027" w:type="dxa"/>
            <w:vAlign w:val="center"/>
          </w:tcPr>
          <w:p w14:paraId="4CCC9D9D">
            <w:pPr>
              <w:rPr>
                <w:rFonts w:ascii="Arial" w:hAnsi="Arial" w:cs="Arial"/>
                <w:szCs w:val="21"/>
              </w:rPr>
            </w:pPr>
            <w:r>
              <w:rPr>
                <w:rFonts w:ascii="Arial" w:hAnsi="Arial" w:cs="Arial"/>
                <w:b/>
                <w:szCs w:val="21"/>
              </w:rPr>
              <w:t>投标有效期：</w:t>
            </w:r>
            <w:r>
              <w:rPr>
                <w:rFonts w:hint="eastAsia" w:ascii="Arial" w:hAnsi="Arial" w:cs="Arial"/>
                <w:szCs w:val="21"/>
              </w:rPr>
              <w:t>开标日起90</w:t>
            </w:r>
            <w:r>
              <w:rPr>
                <w:rFonts w:ascii="Arial" w:hAnsi="Arial" w:cs="Arial"/>
                <w:szCs w:val="21"/>
              </w:rPr>
              <w:t>天</w:t>
            </w:r>
          </w:p>
        </w:tc>
      </w:tr>
      <w:tr w14:paraId="53B32A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1" w:hRule="atLeast"/>
          <w:jc w:val="center"/>
        </w:trPr>
        <w:tc>
          <w:tcPr>
            <w:tcW w:w="1108" w:type="dxa"/>
            <w:shd w:val="clear" w:color="auto" w:fill="auto"/>
            <w:vAlign w:val="center"/>
          </w:tcPr>
          <w:p w14:paraId="4136DF19">
            <w:pPr>
              <w:jc w:val="center"/>
              <w:rPr>
                <w:rFonts w:ascii="Arial" w:hAnsi="Arial" w:cs="Arial"/>
                <w:szCs w:val="21"/>
              </w:rPr>
            </w:pPr>
            <w:r>
              <w:rPr>
                <w:rFonts w:ascii="Arial" w:hAnsi="Arial" w:cs="Arial"/>
                <w:szCs w:val="21"/>
              </w:rPr>
              <w:t>5</w:t>
            </w:r>
          </w:p>
        </w:tc>
        <w:tc>
          <w:tcPr>
            <w:tcW w:w="8027" w:type="dxa"/>
            <w:vAlign w:val="center"/>
          </w:tcPr>
          <w:p w14:paraId="06EED849">
            <w:pPr>
              <w:rPr>
                <w:rFonts w:hint="default" w:ascii="Arial" w:hAnsi="Arial" w:cs="Arial"/>
                <w:szCs w:val="21"/>
                <w:lang w:val="en-US"/>
              </w:rPr>
            </w:pPr>
            <w:r>
              <w:rPr>
                <w:rFonts w:ascii="Arial" w:hAnsi="Arial" w:cs="Arial"/>
                <w:szCs w:val="21"/>
              </w:rPr>
              <w:t>正本的份数：1份副本的份数：</w:t>
            </w:r>
            <w:r>
              <w:rPr>
                <w:rFonts w:hint="eastAsia" w:ascii="Arial" w:hAnsi="Arial" w:cs="Arial"/>
                <w:szCs w:val="21"/>
              </w:rPr>
              <w:t>4</w:t>
            </w:r>
            <w:r>
              <w:rPr>
                <w:rFonts w:ascii="Arial" w:hAnsi="Arial" w:cs="Arial"/>
                <w:szCs w:val="21"/>
              </w:rPr>
              <w:t>份</w:t>
            </w:r>
            <w:r>
              <w:rPr>
                <w:rFonts w:hint="eastAsia" w:eastAsia="宋体" w:cs="Arial"/>
                <w:szCs w:val="21"/>
                <w:lang w:val="en-US" w:eastAsia="zh-CN"/>
              </w:rPr>
              <w:t xml:space="preserve"> 平台报价：1份</w:t>
            </w:r>
          </w:p>
        </w:tc>
      </w:tr>
      <w:tr w14:paraId="2F3B07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18" w:hRule="atLeast"/>
          <w:jc w:val="center"/>
        </w:trPr>
        <w:tc>
          <w:tcPr>
            <w:tcW w:w="1108" w:type="dxa"/>
            <w:shd w:val="clear" w:color="auto" w:fill="auto"/>
            <w:vAlign w:val="center"/>
          </w:tcPr>
          <w:p w14:paraId="7818BF58">
            <w:pPr>
              <w:jc w:val="center"/>
              <w:rPr>
                <w:rFonts w:ascii="Arial" w:hAnsi="Arial" w:cs="Arial"/>
                <w:szCs w:val="21"/>
              </w:rPr>
            </w:pPr>
            <w:r>
              <w:rPr>
                <w:rFonts w:ascii="Arial" w:hAnsi="Arial" w:cs="Arial"/>
                <w:szCs w:val="21"/>
              </w:rPr>
              <w:t>6</w:t>
            </w:r>
          </w:p>
        </w:tc>
        <w:tc>
          <w:tcPr>
            <w:tcW w:w="8027" w:type="dxa"/>
            <w:vAlign w:val="center"/>
          </w:tcPr>
          <w:p w14:paraId="538428CC">
            <w:pPr>
              <w:rPr>
                <w:rFonts w:ascii="Arial" w:hAnsi="Arial" w:cs="Arial"/>
                <w:b/>
                <w:szCs w:val="21"/>
              </w:rPr>
            </w:pPr>
            <w:r>
              <w:rPr>
                <w:rFonts w:hint="eastAsia" w:ascii="Arial" w:hAnsi="Arial" w:cs="Arial"/>
                <w:b/>
                <w:szCs w:val="21"/>
              </w:rPr>
              <w:t>投标</w:t>
            </w:r>
            <w:r>
              <w:rPr>
                <w:rFonts w:ascii="Arial" w:hAnsi="Arial" w:cs="Arial"/>
                <w:b/>
                <w:szCs w:val="21"/>
              </w:rPr>
              <w:t>文件递交截止时间及开标时间：</w:t>
            </w:r>
          </w:p>
          <w:p w14:paraId="406A1EB5">
            <w:pPr>
              <w:pStyle w:val="12"/>
              <w:rPr>
                <w:rFonts w:ascii="Arial" w:hAnsi="Arial" w:cs="Arial"/>
                <w:szCs w:val="21"/>
              </w:rPr>
            </w:pPr>
            <w:r>
              <w:rPr>
                <w:rFonts w:hint="eastAsia" w:ascii="Arial" w:hAnsi="Arial" w:cs="Arial"/>
                <w:szCs w:val="21"/>
              </w:rPr>
              <w:t>2026年0</w:t>
            </w:r>
            <w:r>
              <w:rPr>
                <w:rFonts w:hint="eastAsia" w:eastAsia="宋体" w:cs="Arial"/>
                <w:szCs w:val="21"/>
                <w:lang w:val="en-US" w:eastAsia="zh-CN"/>
              </w:rPr>
              <w:t>9</w:t>
            </w:r>
            <w:r>
              <w:rPr>
                <w:rFonts w:hint="eastAsia" w:ascii="Arial" w:hAnsi="Arial" w:cs="Arial"/>
                <w:szCs w:val="21"/>
              </w:rPr>
              <w:t>月</w:t>
            </w:r>
            <w:r>
              <w:rPr>
                <w:rFonts w:hint="eastAsia" w:eastAsia="宋体" w:cs="Arial"/>
                <w:szCs w:val="21"/>
                <w:lang w:val="en-US" w:eastAsia="zh-CN"/>
              </w:rPr>
              <w:t>04</w:t>
            </w:r>
            <w:r>
              <w:rPr>
                <w:rFonts w:hint="eastAsia" w:ascii="Arial" w:hAnsi="Arial" w:cs="Arial"/>
                <w:szCs w:val="21"/>
              </w:rPr>
              <w:t>日</w:t>
            </w:r>
            <w:r>
              <w:rPr>
                <w:rFonts w:ascii="Arial" w:hAnsi="Arial" w:cs="Arial"/>
                <w:szCs w:val="21"/>
              </w:rPr>
              <w:t>1</w:t>
            </w:r>
            <w:r>
              <w:rPr>
                <w:rFonts w:hint="eastAsia" w:eastAsia="宋体" w:cs="Arial"/>
                <w:szCs w:val="21"/>
                <w:lang w:val="en-US" w:eastAsia="zh-CN"/>
              </w:rPr>
              <w:t>5</w:t>
            </w:r>
            <w:r>
              <w:rPr>
                <w:rFonts w:ascii="Arial" w:hAnsi="Arial" w:cs="Arial"/>
                <w:szCs w:val="21"/>
              </w:rPr>
              <w:t>:</w:t>
            </w:r>
            <w:r>
              <w:rPr>
                <w:rFonts w:hint="eastAsia" w:eastAsia="宋体" w:cs="Arial"/>
                <w:szCs w:val="21"/>
                <w:lang w:val="en-US" w:eastAsia="zh-CN"/>
              </w:rPr>
              <w:t>0</w:t>
            </w:r>
            <w:r>
              <w:rPr>
                <w:rFonts w:ascii="Arial" w:hAnsi="Arial" w:cs="Arial"/>
                <w:szCs w:val="21"/>
              </w:rPr>
              <w:t>0</w:t>
            </w:r>
            <w:r>
              <w:rPr>
                <w:rFonts w:hint="eastAsia" w:ascii="Arial" w:hAnsi="Arial" w:cs="Arial"/>
                <w:szCs w:val="21"/>
              </w:rPr>
              <w:t>（北京时间）</w:t>
            </w:r>
          </w:p>
          <w:p w14:paraId="510F4CF6">
            <w:pPr>
              <w:pStyle w:val="12"/>
              <w:rPr>
                <w:rFonts w:ascii="Arial" w:hAnsi="Arial" w:cs="Arial"/>
                <w:b/>
                <w:szCs w:val="21"/>
              </w:rPr>
            </w:pPr>
            <w:r>
              <w:rPr>
                <w:rFonts w:hint="eastAsia" w:ascii="Arial" w:hAnsi="Arial" w:cs="Arial"/>
                <w:b/>
                <w:szCs w:val="21"/>
              </w:rPr>
              <w:t>投标</w:t>
            </w:r>
            <w:r>
              <w:rPr>
                <w:rFonts w:ascii="Arial" w:hAnsi="Arial" w:cs="Arial"/>
                <w:b/>
                <w:szCs w:val="21"/>
              </w:rPr>
              <w:t>文件递交地点及</w:t>
            </w:r>
            <w:r>
              <w:rPr>
                <w:rFonts w:hint="eastAsia" w:ascii="Arial" w:hAnsi="Arial" w:cs="Arial"/>
                <w:b/>
                <w:szCs w:val="21"/>
              </w:rPr>
              <w:t>开标地点</w:t>
            </w:r>
            <w:r>
              <w:rPr>
                <w:rFonts w:ascii="Arial" w:hAnsi="Arial" w:cs="Arial"/>
                <w:b/>
                <w:szCs w:val="21"/>
              </w:rPr>
              <w:t>：</w:t>
            </w:r>
          </w:p>
          <w:p w14:paraId="40A12526">
            <w:pPr>
              <w:pStyle w:val="12"/>
              <w:rPr>
                <w:rFonts w:ascii="Arial" w:hAnsi="Arial" w:cs="Arial"/>
                <w:szCs w:val="21"/>
              </w:rPr>
            </w:pPr>
            <w:r>
              <w:rPr>
                <w:rFonts w:hint="eastAsia" w:ascii="Arial" w:hAnsi="Arial" w:cs="Arial"/>
                <w:szCs w:val="21"/>
              </w:rPr>
              <w:t>中国机械总院集团海西（福建）分院有限公司开标</w:t>
            </w:r>
            <w:r>
              <w:rPr>
                <w:rFonts w:ascii="Arial" w:hAnsi="Arial" w:cs="Arial"/>
                <w:szCs w:val="21"/>
              </w:rPr>
              <w:t>会议室</w:t>
            </w:r>
          </w:p>
          <w:p w14:paraId="197C6968">
            <w:pPr>
              <w:rPr>
                <w:rFonts w:ascii="Arial" w:hAnsi="宋体" w:cs="Arial"/>
                <w:szCs w:val="21"/>
              </w:rPr>
            </w:pPr>
            <w:r>
              <w:rPr>
                <w:rFonts w:ascii="Arial" w:hAnsi="Arial" w:cs="Arial"/>
                <w:szCs w:val="21"/>
              </w:rPr>
              <w:t>“项目名称：</w:t>
            </w:r>
            <w:r>
              <w:rPr>
                <w:rFonts w:hint="eastAsia" w:ascii="Arial" w:hAnsi="Arial" w:cs="Arial"/>
                <w:szCs w:val="21"/>
              </w:rPr>
              <w:t>中国机械总院集团海西（福建）分院有限公司真空设备部件采购项目</w:t>
            </w:r>
          </w:p>
          <w:p w14:paraId="7838C575">
            <w:pPr>
              <w:jc w:val="left"/>
              <w:rPr>
                <w:rFonts w:ascii="Arial" w:hAnsi="Arial" w:cs="Arial"/>
                <w:szCs w:val="21"/>
              </w:rPr>
            </w:pPr>
            <w:r>
              <w:rPr>
                <w:rFonts w:ascii="Arial" w:hAnsi="Arial" w:cs="Arial"/>
                <w:szCs w:val="21"/>
              </w:rPr>
              <w:t>招标编号：</w:t>
            </w:r>
            <w:r>
              <w:rPr>
                <w:rFonts w:hint="eastAsia" w:ascii="Arial" w:hAnsi="Arial" w:cs="Arial"/>
                <w:b w:val="0"/>
                <w:bCs/>
                <w:szCs w:val="21"/>
                <w:lang w:val="en-US" w:eastAsia="zh-CN"/>
              </w:rPr>
              <w:t>HXZB2026081801</w:t>
            </w:r>
          </w:p>
          <w:p w14:paraId="013819A8">
            <w:pPr>
              <w:rPr>
                <w:rFonts w:ascii="Arial" w:hAnsi="Arial" w:cs="Arial"/>
                <w:szCs w:val="21"/>
              </w:rPr>
            </w:pPr>
            <w:r>
              <w:rPr>
                <w:rFonts w:hint="eastAsia" w:ascii="Arial" w:hAnsi="Arial" w:cs="Arial"/>
                <w:szCs w:val="21"/>
              </w:rPr>
              <w:t>投标人</w:t>
            </w:r>
            <w:r>
              <w:rPr>
                <w:rFonts w:ascii="Arial" w:hAnsi="Arial" w:cs="Arial"/>
                <w:szCs w:val="21"/>
              </w:rPr>
              <w:t>名称：               ”</w:t>
            </w:r>
          </w:p>
        </w:tc>
      </w:tr>
      <w:tr w14:paraId="0F50F0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1108" w:type="dxa"/>
            <w:shd w:val="clear" w:color="auto" w:fill="auto"/>
            <w:vAlign w:val="center"/>
          </w:tcPr>
          <w:p w14:paraId="1E68ECBF">
            <w:pPr>
              <w:jc w:val="center"/>
              <w:rPr>
                <w:rFonts w:ascii="Arial" w:hAnsi="Arial" w:cs="Arial"/>
                <w:szCs w:val="21"/>
              </w:rPr>
            </w:pPr>
            <w:r>
              <w:rPr>
                <w:rFonts w:ascii="Arial" w:hAnsi="Arial" w:cs="Arial"/>
                <w:szCs w:val="21"/>
              </w:rPr>
              <w:t>7</w:t>
            </w:r>
          </w:p>
        </w:tc>
        <w:tc>
          <w:tcPr>
            <w:tcW w:w="8027" w:type="dxa"/>
            <w:vAlign w:val="center"/>
          </w:tcPr>
          <w:p w14:paraId="116C5956">
            <w:pPr>
              <w:rPr>
                <w:rFonts w:hint="default" w:ascii="Arial" w:hAnsi="Arial" w:eastAsia="宋体" w:cs="Arial"/>
                <w:b/>
                <w:szCs w:val="21"/>
                <w:lang w:val="en-US" w:eastAsia="zh-CN"/>
              </w:rPr>
            </w:pPr>
            <w:r>
              <w:rPr>
                <w:rFonts w:hint="eastAsia" w:ascii="Arial" w:hAnsi="Arial" w:cs="Arial"/>
                <w:b/>
                <w:szCs w:val="21"/>
              </w:rPr>
              <w:t>交货</w:t>
            </w:r>
            <w:r>
              <w:rPr>
                <w:rFonts w:ascii="Arial" w:hAnsi="Arial" w:cs="Arial"/>
                <w:b/>
                <w:szCs w:val="21"/>
              </w:rPr>
              <w:t>地点：</w:t>
            </w:r>
            <w:r>
              <w:rPr>
                <w:rFonts w:hint="eastAsia" w:eastAsia="宋体" w:cs="Arial"/>
                <w:szCs w:val="21"/>
                <w:lang w:val="en-US" w:eastAsia="zh-CN"/>
              </w:rPr>
              <w:t>按采购人指定地点交货</w:t>
            </w:r>
          </w:p>
        </w:tc>
      </w:tr>
      <w:tr w14:paraId="3E295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1108" w:type="dxa"/>
            <w:shd w:val="clear" w:color="auto" w:fill="auto"/>
            <w:vAlign w:val="center"/>
          </w:tcPr>
          <w:p w14:paraId="5CA06804">
            <w:pPr>
              <w:jc w:val="center"/>
              <w:rPr>
                <w:rFonts w:ascii="Arial" w:hAnsi="Arial" w:cs="Arial"/>
                <w:szCs w:val="21"/>
              </w:rPr>
            </w:pPr>
            <w:r>
              <w:rPr>
                <w:rFonts w:hint="eastAsia" w:ascii="Arial" w:hAnsi="Arial" w:cs="Arial"/>
                <w:szCs w:val="21"/>
              </w:rPr>
              <w:t>8</w:t>
            </w:r>
          </w:p>
        </w:tc>
        <w:tc>
          <w:tcPr>
            <w:tcW w:w="8027" w:type="dxa"/>
            <w:vAlign w:val="center"/>
          </w:tcPr>
          <w:p w14:paraId="2B21D36D">
            <w:pPr>
              <w:rPr>
                <w:rFonts w:ascii="Arial" w:hAnsi="Arial" w:cs="Arial"/>
                <w:b/>
                <w:szCs w:val="21"/>
              </w:rPr>
            </w:pPr>
            <w:r>
              <w:rPr>
                <w:rFonts w:hint="eastAsia" w:ascii="Arial" w:hAnsi="Arial" w:cs="Arial"/>
                <w:b/>
                <w:szCs w:val="21"/>
              </w:rPr>
              <w:t>交货期：</w:t>
            </w:r>
            <w:r>
              <w:rPr>
                <w:rFonts w:hint="eastAsia" w:ascii="Arial" w:hAnsi="Arial" w:cs="Arial"/>
                <w:szCs w:val="21"/>
              </w:rPr>
              <w:t>签订合同后3个月内完成设备到厂及安装调试，达到交付验收条件。</w:t>
            </w:r>
          </w:p>
        </w:tc>
      </w:tr>
      <w:tr w14:paraId="1DA996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1108" w:type="dxa"/>
            <w:shd w:val="clear" w:color="auto" w:fill="auto"/>
            <w:vAlign w:val="center"/>
          </w:tcPr>
          <w:p w14:paraId="3363CAD6">
            <w:pPr>
              <w:jc w:val="center"/>
              <w:rPr>
                <w:rFonts w:ascii="Arial" w:hAnsi="Arial" w:cs="Arial"/>
                <w:szCs w:val="21"/>
              </w:rPr>
            </w:pPr>
            <w:r>
              <w:rPr>
                <w:rFonts w:hint="eastAsia" w:ascii="Arial" w:hAnsi="Arial" w:cs="Arial"/>
                <w:szCs w:val="21"/>
              </w:rPr>
              <w:t>9</w:t>
            </w:r>
          </w:p>
        </w:tc>
        <w:tc>
          <w:tcPr>
            <w:tcW w:w="8027" w:type="dxa"/>
            <w:vAlign w:val="center"/>
          </w:tcPr>
          <w:p w14:paraId="005B4C04">
            <w:pPr>
              <w:rPr>
                <w:rFonts w:ascii="Arial" w:hAnsi="Arial" w:cs="Arial"/>
                <w:szCs w:val="21"/>
              </w:rPr>
            </w:pPr>
            <w:r>
              <w:rPr>
                <w:rFonts w:ascii="Arial" w:hAnsi="Arial" w:cs="Arial"/>
                <w:b/>
                <w:szCs w:val="21"/>
              </w:rPr>
              <w:t>投标人提出问题</w:t>
            </w:r>
            <w:r>
              <w:rPr>
                <w:rFonts w:hint="eastAsia" w:ascii="Arial" w:hAnsi="Arial" w:cs="Arial"/>
                <w:b/>
                <w:szCs w:val="21"/>
              </w:rPr>
              <w:t>：</w:t>
            </w:r>
            <w:r>
              <w:rPr>
                <w:rFonts w:hint="eastAsia" w:ascii="Arial" w:hAnsi="Arial" w:cs="Arial"/>
                <w:szCs w:val="21"/>
              </w:rPr>
              <w:t>开标前10日</w:t>
            </w:r>
            <w:r>
              <w:rPr>
                <w:rFonts w:ascii="Arial" w:hAnsi="Arial" w:cs="Arial"/>
                <w:szCs w:val="21"/>
              </w:rPr>
              <w:t>内以书面形式提交至</w:t>
            </w:r>
            <w:r>
              <w:rPr>
                <w:rFonts w:hint="eastAsia" w:ascii="Arial" w:hAnsi="Arial" w:cs="Arial"/>
                <w:szCs w:val="21"/>
              </w:rPr>
              <w:t>中国机械总院集团海西（福建）分院有限公司</w:t>
            </w:r>
          </w:p>
        </w:tc>
      </w:tr>
      <w:tr w14:paraId="088549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1108" w:type="dxa"/>
            <w:shd w:val="clear" w:color="auto" w:fill="auto"/>
            <w:vAlign w:val="center"/>
          </w:tcPr>
          <w:p w14:paraId="3FC44205">
            <w:pPr>
              <w:jc w:val="center"/>
              <w:rPr>
                <w:rFonts w:ascii="Arial" w:hAnsi="Arial" w:cs="Arial"/>
                <w:szCs w:val="21"/>
              </w:rPr>
            </w:pPr>
            <w:r>
              <w:rPr>
                <w:rFonts w:hint="eastAsia" w:ascii="Arial" w:hAnsi="Arial" w:cs="Arial"/>
                <w:szCs w:val="21"/>
              </w:rPr>
              <w:t>10</w:t>
            </w:r>
          </w:p>
        </w:tc>
        <w:tc>
          <w:tcPr>
            <w:tcW w:w="8027" w:type="dxa"/>
            <w:vAlign w:val="center"/>
          </w:tcPr>
          <w:p w14:paraId="3FE52BA8">
            <w:pPr>
              <w:rPr>
                <w:rFonts w:ascii="Arial" w:hAnsi="Arial" w:cs="Arial"/>
                <w:szCs w:val="21"/>
              </w:rPr>
            </w:pPr>
            <w:r>
              <w:rPr>
                <w:rFonts w:hint="eastAsia" w:ascii="Arial" w:hAnsi="Arial" w:cs="Arial"/>
                <w:b/>
                <w:szCs w:val="21"/>
              </w:rPr>
              <w:t>评标委员会人数：</w:t>
            </w:r>
            <w:r>
              <w:rPr>
                <w:rFonts w:hint="eastAsia" w:ascii="Arial" w:hAnsi="Arial" w:cs="Arial"/>
                <w:szCs w:val="21"/>
              </w:rPr>
              <w:t>共5人，</w:t>
            </w:r>
            <w:r>
              <w:rPr>
                <w:rFonts w:hint="eastAsia" w:eastAsia="宋体" w:cs="Arial"/>
                <w:szCs w:val="21"/>
                <w:lang w:eastAsia="zh-CN"/>
              </w:rPr>
              <w:t>“</w:t>
            </w:r>
            <w:r>
              <w:rPr>
                <w:rFonts w:hint="eastAsia" w:eastAsia="宋体" w:cs="Arial"/>
                <w:szCs w:val="21"/>
                <w:lang w:val="en-US" w:eastAsia="zh-CN"/>
              </w:rPr>
              <w:t>管理+</w:t>
            </w:r>
            <w:r>
              <w:rPr>
                <w:rFonts w:hint="eastAsia" w:ascii="Arial" w:hAnsi="Arial" w:cs="Arial"/>
                <w:szCs w:val="21"/>
              </w:rPr>
              <w:t>专家</w:t>
            </w:r>
            <w:r>
              <w:rPr>
                <w:rFonts w:hint="eastAsia" w:eastAsia="宋体" w:cs="Arial"/>
                <w:szCs w:val="21"/>
                <w:lang w:eastAsia="zh-CN"/>
              </w:rPr>
              <w:t>”</w:t>
            </w:r>
            <w:r>
              <w:rPr>
                <w:rFonts w:hint="eastAsia" w:eastAsia="宋体" w:cs="Arial"/>
                <w:szCs w:val="21"/>
                <w:lang w:val="en-US" w:eastAsia="zh-CN"/>
              </w:rPr>
              <w:t>组合模式评标</w:t>
            </w:r>
            <w:r>
              <w:rPr>
                <w:rFonts w:hint="eastAsia" w:ascii="Arial" w:hAnsi="Arial" w:cs="Arial"/>
                <w:szCs w:val="21"/>
              </w:rPr>
              <w:t>。</w:t>
            </w:r>
          </w:p>
          <w:p w14:paraId="67C7B1F7">
            <w:pPr>
              <w:rPr>
                <w:rFonts w:ascii="Arial" w:hAnsi="Arial" w:cs="Arial"/>
                <w:color w:val="FF0000"/>
                <w:szCs w:val="21"/>
              </w:rPr>
            </w:pPr>
            <w:r>
              <w:rPr>
                <w:rFonts w:hint="eastAsia" w:ascii="Arial" w:hAnsi="Arial" w:cs="Arial"/>
                <w:szCs w:val="21"/>
              </w:rPr>
              <w:t>评标办法：以综合评分法</w:t>
            </w:r>
          </w:p>
        </w:tc>
      </w:tr>
      <w:tr w14:paraId="4FED05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jc w:val="center"/>
        </w:trPr>
        <w:tc>
          <w:tcPr>
            <w:tcW w:w="1108" w:type="dxa"/>
            <w:tcBorders>
              <w:bottom w:val="single" w:color="auto" w:sz="4" w:space="0"/>
            </w:tcBorders>
            <w:shd w:val="clear" w:color="auto" w:fill="auto"/>
            <w:vAlign w:val="center"/>
          </w:tcPr>
          <w:p w14:paraId="0E03C259">
            <w:pPr>
              <w:jc w:val="center"/>
              <w:rPr>
                <w:rFonts w:ascii="Arial" w:hAnsi="Arial" w:cs="Arial"/>
                <w:szCs w:val="21"/>
              </w:rPr>
            </w:pPr>
            <w:r>
              <w:rPr>
                <w:rFonts w:hint="eastAsia" w:ascii="Arial" w:hAnsi="Arial" w:cs="Arial"/>
                <w:szCs w:val="21"/>
              </w:rPr>
              <w:t>11</w:t>
            </w:r>
          </w:p>
        </w:tc>
        <w:tc>
          <w:tcPr>
            <w:tcW w:w="8027" w:type="dxa"/>
            <w:tcBorders>
              <w:bottom w:val="single" w:color="auto" w:sz="4" w:space="0"/>
            </w:tcBorders>
            <w:vAlign w:val="center"/>
          </w:tcPr>
          <w:p w14:paraId="293E8D21">
            <w:pPr>
              <w:rPr>
                <w:rFonts w:ascii="Arial" w:hAnsi="Arial" w:cs="Arial"/>
                <w:b/>
                <w:szCs w:val="21"/>
              </w:rPr>
            </w:pPr>
            <w:r>
              <w:rPr>
                <w:rFonts w:ascii="Arial" w:hAnsi="Arial" w:cs="Arial"/>
                <w:b/>
                <w:szCs w:val="21"/>
              </w:rPr>
              <w:t>付款</w:t>
            </w:r>
            <w:r>
              <w:rPr>
                <w:rFonts w:hint="eastAsia" w:ascii="Arial" w:hAnsi="Arial" w:cs="Arial"/>
                <w:b/>
                <w:szCs w:val="21"/>
              </w:rPr>
              <w:t>方式：</w:t>
            </w:r>
          </w:p>
          <w:p w14:paraId="0417FF95">
            <w:pPr>
              <w:rPr>
                <w:rFonts w:ascii="Arial" w:hAnsi="Arial" w:cs="Arial"/>
                <w:color w:val="FF0000"/>
                <w:szCs w:val="21"/>
              </w:rPr>
            </w:pPr>
            <w:r>
              <w:rPr>
                <w:rFonts w:hint="eastAsia" w:ascii="Arial" w:hAnsi="Arial" w:cs="Arial"/>
                <w:color w:val="FF0000"/>
                <w:szCs w:val="21"/>
                <w:lang w:val="en-US" w:eastAsia="zh-CN"/>
              </w:rPr>
              <w:t>预付30%，货到票到验收合格支付60%，质保金10%</w:t>
            </w:r>
          </w:p>
        </w:tc>
      </w:tr>
      <w:tr w14:paraId="2D3A69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9" w:hRule="atLeast"/>
          <w:jc w:val="center"/>
        </w:trPr>
        <w:tc>
          <w:tcPr>
            <w:tcW w:w="1108" w:type="dxa"/>
            <w:tcBorders>
              <w:top w:val="single" w:color="auto" w:sz="4" w:space="0"/>
            </w:tcBorders>
            <w:shd w:val="clear" w:color="auto" w:fill="auto"/>
            <w:vAlign w:val="center"/>
          </w:tcPr>
          <w:p w14:paraId="0DDEB6D4">
            <w:pPr>
              <w:jc w:val="center"/>
              <w:rPr>
                <w:rFonts w:ascii="Arial" w:hAnsi="Arial" w:cs="Arial"/>
                <w:szCs w:val="21"/>
              </w:rPr>
            </w:pPr>
            <w:r>
              <w:rPr>
                <w:rFonts w:hint="eastAsia" w:ascii="Arial" w:hAnsi="Arial" w:cs="Arial"/>
                <w:szCs w:val="21"/>
              </w:rPr>
              <w:t>1</w:t>
            </w:r>
            <w:r>
              <w:rPr>
                <w:rFonts w:ascii="Arial" w:hAnsi="Arial" w:cs="Arial"/>
                <w:szCs w:val="21"/>
              </w:rPr>
              <w:t>2</w:t>
            </w:r>
          </w:p>
        </w:tc>
        <w:tc>
          <w:tcPr>
            <w:tcW w:w="8027" w:type="dxa"/>
            <w:tcBorders>
              <w:top w:val="single" w:color="auto" w:sz="4" w:space="0"/>
            </w:tcBorders>
            <w:vAlign w:val="center"/>
          </w:tcPr>
          <w:p w14:paraId="0F94E529">
            <w:pPr>
              <w:rPr>
                <w:rFonts w:hint="default" w:ascii="Arial" w:hAnsi="Arial" w:eastAsia="宋体" w:cs="Arial"/>
                <w:szCs w:val="21"/>
                <w:lang w:val="en-US" w:eastAsia="zh-CN"/>
              </w:rPr>
            </w:pPr>
            <w:r>
              <w:rPr>
                <w:rFonts w:hint="eastAsia" w:ascii="Arial" w:hAnsi="Arial" w:cs="Arial"/>
                <w:b/>
                <w:szCs w:val="21"/>
              </w:rPr>
              <w:t>招标控制价：</w:t>
            </w:r>
            <w:r>
              <w:rPr>
                <w:rFonts w:hint="eastAsia" w:eastAsia="宋体" w:cs="Arial"/>
                <w:szCs w:val="21"/>
                <w:lang w:val="en-US" w:eastAsia="zh-CN"/>
              </w:rPr>
              <w:t>400</w:t>
            </w:r>
            <w:r>
              <w:rPr>
                <w:rFonts w:hint="eastAsia" w:ascii="Arial" w:hAnsi="Arial" w:cs="Arial"/>
                <w:szCs w:val="21"/>
              </w:rPr>
              <w:t>万元</w:t>
            </w:r>
            <w:r>
              <w:rPr>
                <w:rFonts w:hint="eastAsia" w:ascii="Arial" w:hAnsi="Arial" w:cs="Arial"/>
                <w:szCs w:val="21"/>
              </w:rPr>
              <w:br w:type="textWrapping"/>
            </w:r>
            <w:r>
              <w:rPr>
                <w:rFonts w:hint="eastAsia" w:eastAsia="宋体" w:cs="Arial"/>
                <w:szCs w:val="21"/>
                <w:lang w:val="en-US" w:eastAsia="zh-CN"/>
              </w:rPr>
              <w:t>标段一：200万</w:t>
            </w:r>
            <w:r>
              <w:rPr>
                <w:rFonts w:hint="eastAsia" w:eastAsia="宋体" w:cs="Arial"/>
                <w:szCs w:val="21"/>
                <w:lang w:val="en-US" w:eastAsia="zh-CN"/>
              </w:rPr>
              <w:br w:type="textWrapping"/>
            </w:r>
            <w:r>
              <w:rPr>
                <w:rFonts w:hint="eastAsia" w:eastAsia="宋体" w:cs="Arial"/>
                <w:szCs w:val="21"/>
                <w:lang w:val="en-US" w:eastAsia="zh-CN"/>
              </w:rPr>
              <w:t>标段二：200万</w:t>
            </w:r>
          </w:p>
        </w:tc>
      </w:tr>
    </w:tbl>
    <w:p w14:paraId="451C7B39">
      <w:pPr>
        <w:rPr>
          <w:rFonts w:hint="eastAsia" w:ascii="宋体" w:hAnsi="宋体" w:eastAsia="宋体" w:cs="宋体"/>
        </w:rPr>
      </w:pPr>
    </w:p>
    <w:p w14:paraId="65609B72">
      <w:pPr>
        <w:spacing w:before="240" w:beforeLines="100" w:after="120" w:afterLines="50" w:line="360" w:lineRule="auto"/>
        <w:jc w:val="center"/>
        <w:outlineLvl w:val="0"/>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bookmarkStart w:id="43" w:name="_Toc10599"/>
      <w:bookmarkStart w:id="44" w:name="_Toc23318"/>
      <w:bookmarkStart w:id="45" w:name="_Toc18439"/>
      <w:bookmarkStart w:id="46" w:name="_Toc26177"/>
    </w:p>
    <w:p w14:paraId="32CE2190">
      <w:pPr>
        <w:spacing w:before="240" w:beforeLines="100" w:after="120" w:afterLines="50" w:line="360" w:lineRule="auto"/>
        <w:jc w:val="center"/>
        <w:outlineLvl w:val="0"/>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p>
    <w:p w14:paraId="46915D16">
      <w:pPr>
        <w:spacing w:before="240" w:beforeLines="100" w:after="120" w:afterLines="50" w:line="360" w:lineRule="auto"/>
        <w:jc w:val="center"/>
        <w:outlineLvl w:val="0"/>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p>
    <w:p w14:paraId="4EF14FF7">
      <w:pPr>
        <w:spacing w:before="240" w:beforeLines="100" w:after="120" w:afterLines="50" w:line="360" w:lineRule="auto"/>
        <w:jc w:val="center"/>
        <w:outlineLvl w:val="0"/>
        <w:rPr>
          <w:rFonts w:hint="eastAsia" w:ascii="宋体" w:hAnsi="宋体" w:eastAsia="宋体" w:cs="宋体"/>
          <w:spacing w:val="-3"/>
          <w:sz w:val="36"/>
          <w:szCs w:val="36"/>
          <w14:textOutline w14:w="6527" w14:cap="flat" w14:cmpd="sng" w14:algn="ctr">
            <w14:solidFill>
              <w14:srgbClr w14:val="000000"/>
            </w14:solidFill>
            <w14:prstDash w14:val="solid"/>
            <w14:miter w14:val="0"/>
          </w14:textOutline>
        </w:rPr>
      </w:pPr>
      <w:r>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t>三、</w:t>
      </w:r>
      <w:r>
        <w:rPr>
          <w:rFonts w:hint="eastAsia" w:ascii="宋体" w:hAnsi="宋体" w:eastAsia="宋体" w:cs="宋体"/>
          <w:spacing w:val="-3"/>
          <w:sz w:val="36"/>
          <w:szCs w:val="36"/>
          <w14:textOutline w14:w="6527" w14:cap="flat" w14:cmpd="sng" w14:algn="ctr">
            <w14:solidFill>
              <w14:srgbClr w14:val="000000"/>
            </w14:solidFill>
            <w14:prstDash w14:val="solid"/>
            <w14:miter w14:val="0"/>
          </w14:textOutline>
        </w:rPr>
        <w:t>投标人须知</w:t>
      </w:r>
      <w:bookmarkEnd w:id="43"/>
      <w:bookmarkEnd w:id="44"/>
      <w:bookmarkEnd w:id="45"/>
      <w:bookmarkEnd w:id="46"/>
    </w:p>
    <w:p w14:paraId="30999B35">
      <w:pPr>
        <w:rPr>
          <w:rFonts w:hint="eastAsia" w:ascii="宋体" w:hAnsi="宋体" w:eastAsia="宋体" w:cs="宋体"/>
        </w:rPr>
      </w:pPr>
    </w:p>
    <w:p w14:paraId="4E742DF5">
      <w:pPr>
        <w:kinsoku/>
        <w:spacing w:line="360" w:lineRule="auto"/>
        <w:ind w:firstLine="439" w:firstLineChars="182"/>
        <w:outlineLvl w:val="1"/>
        <w:rPr>
          <w:rFonts w:hint="eastAsia" w:ascii="宋体" w:hAnsi="宋体" w:eastAsia="宋体" w:cs="宋体"/>
          <w:b/>
          <w:bCs/>
          <w:sz w:val="24"/>
          <w:szCs w:val="24"/>
        </w:rPr>
      </w:pPr>
      <w:bookmarkStart w:id="47" w:name="_Toc29315"/>
      <w:r>
        <w:rPr>
          <w:rFonts w:hint="eastAsia" w:ascii="宋体" w:hAnsi="宋体" w:eastAsia="宋体" w:cs="宋体"/>
          <w:b/>
          <w:bCs/>
          <w:sz w:val="24"/>
          <w:szCs w:val="24"/>
        </w:rPr>
        <w:t>一、投标要求</w:t>
      </w:r>
      <w:bookmarkEnd w:id="47"/>
    </w:p>
    <w:p w14:paraId="14DF5E03">
      <w:pPr>
        <w:pStyle w:val="31"/>
        <w:numPr>
          <w:ilvl w:val="0"/>
          <w:numId w:val="2"/>
        </w:numPr>
        <w:kinsoku/>
        <w:spacing w:line="360" w:lineRule="auto"/>
        <w:ind w:left="0" w:firstLine="436" w:firstLineChars="182"/>
        <w:rPr>
          <w:rFonts w:hint="eastAsia" w:ascii="宋体" w:hAnsi="宋体" w:eastAsia="宋体" w:cs="宋体"/>
          <w:sz w:val="24"/>
          <w:szCs w:val="24"/>
        </w:rPr>
      </w:pPr>
      <w:r>
        <w:rPr>
          <w:rFonts w:hint="eastAsia" w:ascii="宋体" w:hAnsi="宋体" w:eastAsia="宋体" w:cs="宋体"/>
          <w:sz w:val="24"/>
          <w:szCs w:val="24"/>
        </w:rPr>
        <w:t>投标人应遵守国家有关招标投标法律、法规、部门规章和规范性文件。</w:t>
      </w:r>
    </w:p>
    <w:p w14:paraId="273D8D61">
      <w:pPr>
        <w:pStyle w:val="31"/>
        <w:numPr>
          <w:ilvl w:val="0"/>
          <w:numId w:val="2"/>
        </w:numPr>
        <w:kinsoku/>
        <w:spacing w:line="360" w:lineRule="auto"/>
        <w:ind w:left="0" w:leftChars="0" w:firstLine="424" w:firstLineChars="177"/>
        <w:outlineLvl w:val="9"/>
        <w:rPr>
          <w:rFonts w:hint="eastAsia" w:ascii="宋体" w:hAnsi="宋体" w:eastAsia="宋体" w:cs="宋体"/>
          <w:sz w:val="24"/>
          <w:szCs w:val="24"/>
        </w:rPr>
      </w:pPr>
      <w:bookmarkStart w:id="48" w:name="_Toc5448"/>
      <w:bookmarkStart w:id="49" w:name="_Toc24156"/>
      <w:bookmarkStart w:id="50" w:name="_Toc14879"/>
      <w:bookmarkStart w:id="51" w:name="_Toc5917"/>
      <w:bookmarkStart w:id="52" w:name="_Toc9822"/>
      <w:bookmarkStart w:id="53" w:name="_Toc15722"/>
      <w:bookmarkStart w:id="54" w:name="_Toc21532"/>
      <w:r>
        <w:rPr>
          <w:rFonts w:hint="eastAsia" w:ascii="宋体" w:hAnsi="宋体" w:eastAsia="宋体" w:cs="宋体"/>
          <w:sz w:val="24"/>
          <w:szCs w:val="24"/>
        </w:rPr>
        <w:t>投标资格（包括但不限于）：</w:t>
      </w:r>
      <w:bookmarkEnd w:id="48"/>
      <w:bookmarkEnd w:id="49"/>
      <w:bookmarkEnd w:id="50"/>
      <w:bookmarkEnd w:id="51"/>
      <w:bookmarkEnd w:id="52"/>
      <w:bookmarkEnd w:id="53"/>
      <w:bookmarkEnd w:id="54"/>
    </w:p>
    <w:p w14:paraId="42113DFD">
      <w:pPr>
        <w:numPr>
          <w:ilvl w:val="0"/>
          <w:numId w:val="3"/>
        </w:numPr>
        <w:kinsoku/>
        <w:spacing w:line="360" w:lineRule="auto"/>
        <w:ind w:left="0" w:firstLine="480" w:firstLineChars="200"/>
        <w:rPr>
          <w:rFonts w:hint="eastAsia" w:ascii="宋体" w:hAnsi="宋体" w:eastAsia="宋体" w:cs="宋体"/>
          <w:color w:val="auto"/>
          <w:position w:val="5"/>
          <w:sz w:val="24"/>
          <w:szCs w:val="24"/>
        </w:rPr>
      </w:pPr>
      <w:r>
        <w:rPr>
          <w:rFonts w:hint="eastAsia" w:ascii="宋体" w:hAnsi="宋体" w:eastAsia="宋体" w:cs="宋体"/>
          <w:color w:val="auto"/>
          <w:position w:val="5"/>
          <w:sz w:val="24"/>
          <w:szCs w:val="24"/>
        </w:rPr>
        <w:t>投标人投标时应提供加盖其单位公章的营业执照副本、资质证书</w:t>
      </w:r>
      <w:r>
        <w:rPr>
          <w:rFonts w:hint="eastAsia" w:ascii="宋体" w:hAnsi="宋体" w:eastAsia="宋体" w:cs="宋体"/>
        </w:rPr>
        <w:fldChar w:fldCharType="begin"/>
      </w:r>
      <w:r>
        <w:rPr>
          <w:rFonts w:hint="eastAsia" w:ascii="宋体" w:hAnsi="宋体" w:eastAsia="宋体" w:cs="宋体"/>
        </w:rPr>
        <w:instrText xml:space="preserve"> HYPERLINK "https://baike.baidu.com/item/%E5%AE%89%E5%85%A8%E7%94%9F%E4%BA%A7%E8%AE%B8%E5%8F%AF%E8%AF%81" </w:instrText>
      </w:r>
      <w:r>
        <w:rPr>
          <w:rFonts w:hint="eastAsia" w:ascii="宋体" w:hAnsi="宋体" w:eastAsia="宋体" w:cs="宋体"/>
        </w:rPr>
        <w:fldChar w:fldCharType="separate"/>
      </w:r>
      <w:r>
        <w:rPr>
          <w:rFonts w:hint="eastAsia" w:ascii="宋体" w:hAnsi="宋体" w:eastAsia="宋体" w:cs="宋体"/>
          <w:color w:val="auto"/>
          <w:position w:val="5"/>
          <w:sz w:val="24"/>
          <w:szCs w:val="24"/>
        </w:rPr>
        <w:t>等证书复印件</w:t>
      </w:r>
      <w:r>
        <w:rPr>
          <w:rFonts w:hint="eastAsia" w:ascii="宋体" w:hAnsi="宋体" w:eastAsia="宋体" w:cs="宋体"/>
          <w:color w:val="auto"/>
          <w:position w:val="5"/>
          <w:sz w:val="24"/>
          <w:szCs w:val="24"/>
        </w:rPr>
        <w:fldChar w:fldCharType="end"/>
      </w:r>
      <w:r>
        <w:rPr>
          <w:rFonts w:hint="eastAsia" w:ascii="宋体" w:hAnsi="宋体" w:eastAsia="宋体" w:cs="宋体"/>
          <w:color w:val="auto"/>
          <w:position w:val="5"/>
          <w:sz w:val="24"/>
          <w:szCs w:val="24"/>
          <w:lang w:eastAsia="zh-CN"/>
        </w:rPr>
        <w:t>，</w:t>
      </w:r>
      <w:r>
        <w:rPr>
          <w:rFonts w:hint="eastAsia" w:ascii="宋体" w:hAnsi="宋体" w:eastAsia="宋体" w:cs="宋体"/>
          <w:color w:val="auto"/>
          <w:position w:val="5"/>
          <w:sz w:val="24"/>
          <w:szCs w:val="24"/>
        </w:rPr>
        <w:t>报价人必须在中国境内依法注册，具有法人资格、县备采购物资生产供应经验的生产商或代理商，并目均具有经过年审的法人营业执照</w:t>
      </w:r>
    </w:p>
    <w:p w14:paraId="10C0D7FD">
      <w:pPr>
        <w:numPr>
          <w:ilvl w:val="0"/>
          <w:numId w:val="3"/>
        </w:numPr>
        <w:tabs>
          <w:tab w:val="left" w:pos="620"/>
        </w:tabs>
        <w:kinsoku/>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报价人必须在中国境内依法注册，具有法人资格、县备采购物资生产供应经验的生产商或代理商，并目均具有经过年审的法人营业执照</w:t>
      </w:r>
    </w:p>
    <w:p w14:paraId="59159788">
      <w:pPr>
        <w:numPr>
          <w:ilvl w:val="0"/>
          <w:numId w:val="3"/>
        </w:numPr>
        <w:tabs>
          <w:tab w:val="left" w:pos="620"/>
        </w:tabs>
        <w:kinsoku/>
        <w:spacing w:line="360" w:lineRule="auto"/>
        <w:ind w:left="0"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供货业绩</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投标人近三年来承接过合同金额</w:t>
      </w: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rPr>
        <w:t>万元及以上类似业绩且验收合格</w:t>
      </w:r>
      <w:r>
        <w:rPr>
          <w:rFonts w:hint="eastAsia" w:ascii="宋体" w:hAnsi="宋体" w:eastAsia="宋体" w:cs="宋体"/>
          <w:color w:val="auto"/>
          <w:sz w:val="24"/>
          <w:szCs w:val="24"/>
          <w:lang w:val="en-US" w:eastAsia="zh-CN"/>
        </w:rPr>
        <w:t>类似业绩（</w:t>
      </w:r>
      <w:r>
        <w:rPr>
          <w:rFonts w:hint="eastAsia" w:ascii="宋体" w:hAnsi="宋体" w:eastAsia="宋体" w:cs="宋体"/>
          <w:color w:val="auto"/>
          <w:sz w:val="24"/>
          <w:szCs w:val="24"/>
        </w:rPr>
        <w:t>投标人应当提供合同、验收证明复印件（须加盖验收方公章）等证明材料</w:t>
      </w:r>
      <w:r>
        <w:rPr>
          <w:rFonts w:hint="eastAsia" w:ascii="宋体" w:hAnsi="宋体" w:eastAsia="宋体" w:cs="宋体"/>
          <w:color w:val="auto"/>
          <w:sz w:val="24"/>
          <w:szCs w:val="24"/>
          <w:lang w:eastAsia="zh-CN"/>
        </w:rPr>
        <w:t>）</w:t>
      </w:r>
    </w:p>
    <w:p w14:paraId="5CD4CFAA">
      <w:pPr>
        <w:numPr>
          <w:ilvl w:val="0"/>
          <w:numId w:val="3"/>
        </w:numPr>
        <w:tabs>
          <w:tab w:val="left" w:pos="620"/>
        </w:tabs>
        <w:kinsoku/>
        <w:spacing w:line="360" w:lineRule="auto"/>
        <w:ind w:left="0"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具有一定规模和良好的资金财务状况</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highlight w:val="yellow"/>
        </w:rPr>
        <w:t>报价人注册资金不低于100万元(含)人</w:t>
      </w:r>
      <w:r>
        <w:rPr>
          <w:rFonts w:hint="eastAsia" w:ascii="宋体" w:hAnsi="宋体" w:eastAsia="宋体" w:cs="宋体"/>
          <w:color w:val="auto"/>
          <w:sz w:val="24"/>
          <w:szCs w:val="24"/>
        </w:rPr>
        <w:t>民币。</w:t>
      </w:r>
    </w:p>
    <w:p w14:paraId="3A72AF06">
      <w:pPr>
        <w:numPr>
          <w:ilvl w:val="0"/>
          <w:numId w:val="3"/>
        </w:numPr>
        <w:tabs>
          <w:tab w:val="left" w:pos="620"/>
        </w:tabs>
        <w:kinsoku/>
        <w:spacing w:line="360" w:lineRule="auto"/>
        <w:ind w:left="0"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履约信用要求</w:t>
      </w:r>
      <w:r>
        <w:rPr>
          <w:rFonts w:hint="eastAsia" w:ascii="宋体" w:hAnsi="宋体" w:eastAsia="宋体" w:cs="宋体"/>
          <w:color w:val="auto"/>
          <w:sz w:val="24"/>
          <w:szCs w:val="24"/>
        </w:rPr>
        <w:t>:报价人必须具有良好的社会信营，最近三年内没有与骗取合同有关的犯罪或严重违法行为而引起的诉讼和仲裁</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近三年不曾在合同中严重违约;财产被接管或企业未处于禁止或取消投标状态。</w:t>
      </w:r>
    </w:p>
    <w:p w14:paraId="1F339237">
      <w:pPr>
        <w:numPr>
          <w:ilvl w:val="0"/>
          <w:numId w:val="3"/>
        </w:numPr>
        <w:tabs>
          <w:tab w:val="left" w:pos="620"/>
        </w:tabs>
        <w:kinsoku/>
        <w:spacing w:line="360" w:lineRule="auto"/>
        <w:ind w:left="0" w:firstLine="482" w:firstLineChars="200"/>
        <w:rPr>
          <w:rFonts w:hint="eastAsia" w:ascii="宋体" w:hAnsi="宋体" w:eastAsia="宋体" w:cs="宋体"/>
          <w:color w:val="auto"/>
          <w:sz w:val="24"/>
          <w:szCs w:val="24"/>
        </w:rPr>
      </w:pPr>
      <w:r>
        <w:rPr>
          <w:rFonts w:hint="eastAsia" w:eastAsia="宋体" w:cs="Arial"/>
          <w:b/>
          <w:bCs/>
          <w:sz w:val="24"/>
          <w:lang w:val="en-US" w:eastAsia="zh-CN"/>
        </w:rPr>
        <w:t>货物伴随服务</w:t>
      </w:r>
      <w:r>
        <w:rPr>
          <w:rFonts w:hint="eastAsia" w:eastAsia="宋体" w:cs="Arial"/>
          <w:sz w:val="24"/>
          <w:lang w:val="en-US" w:eastAsia="zh-CN"/>
        </w:rPr>
        <w:t>：</w:t>
      </w:r>
      <w:r>
        <w:rPr>
          <w:rFonts w:hint="eastAsia" w:ascii="Arial" w:hAnsi="Arial" w:cs="Arial"/>
          <w:sz w:val="24"/>
        </w:rPr>
        <w:t>投标人除按照招标文件的要求提供货物及服务外，还应提供下列服务：货物的现场安装、启动和试运行；提供货物组装和维修所需的工具；在质量保证期内对所交付货物提供运行监督、维修、保养等；并就货物的安装、启动、运行、维护等对采购单位人员进行必要的培训。以上服务的费用应包含在报价中，不单独进行支付</w:t>
      </w:r>
    </w:p>
    <w:p w14:paraId="00AB5BD6">
      <w:pPr>
        <w:numPr>
          <w:ilvl w:val="0"/>
          <w:numId w:val="2"/>
        </w:numPr>
        <w:kinsoku/>
        <w:spacing w:line="360" w:lineRule="auto"/>
        <w:ind w:left="0" w:leftChars="0" w:right="64" w:firstLine="424" w:firstLineChars="177"/>
        <w:rPr>
          <w:rFonts w:hint="eastAsia" w:ascii="宋体" w:hAnsi="宋体" w:eastAsia="宋体" w:cs="宋体"/>
          <w:sz w:val="24"/>
          <w:szCs w:val="24"/>
        </w:rPr>
      </w:pPr>
      <w:r>
        <w:rPr>
          <w:rFonts w:hint="eastAsia" w:ascii="宋体" w:hAnsi="宋体" w:eastAsia="宋体" w:cs="宋体"/>
          <w:sz w:val="24"/>
          <w:szCs w:val="24"/>
        </w:rPr>
        <w:t>投标费用：投标人应承担投标过程中所涉及的一切费用，不管投标结果如何，招标人对上述费用不负任何责任。</w:t>
      </w:r>
    </w:p>
    <w:p w14:paraId="3CD13DC8">
      <w:pPr>
        <w:numPr>
          <w:ilvl w:val="0"/>
          <w:numId w:val="2"/>
        </w:numPr>
        <w:kinsoku/>
        <w:spacing w:line="360" w:lineRule="auto"/>
        <w:ind w:left="0" w:leftChars="0" w:right="64" w:firstLine="424" w:firstLineChars="177"/>
        <w:rPr>
          <w:rFonts w:hint="eastAsia" w:ascii="宋体" w:hAnsi="宋体" w:eastAsia="宋体" w:cs="宋体"/>
          <w:sz w:val="24"/>
          <w:szCs w:val="24"/>
        </w:rPr>
      </w:pPr>
      <w:r>
        <w:rPr>
          <w:rFonts w:hint="eastAsia" w:ascii="宋体" w:hAnsi="宋体" w:eastAsia="宋体" w:cs="宋体"/>
          <w:sz w:val="24"/>
          <w:szCs w:val="24"/>
        </w:rPr>
        <w:t>采购单位授标时更改采购货物数量的权利</w:t>
      </w:r>
      <w:r>
        <w:rPr>
          <w:rFonts w:hint="eastAsia" w:ascii="宋体" w:hAnsi="宋体" w:eastAsia="宋体" w:cs="宋体"/>
          <w:sz w:val="24"/>
          <w:szCs w:val="24"/>
          <w:lang w:eastAsia="zh-CN"/>
        </w:rPr>
        <w:t>：</w:t>
      </w:r>
      <w:r>
        <w:rPr>
          <w:rFonts w:hint="eastAsia" w:ascii="Arial" w:hAnsi="Arial" w:cs="Arial"/>
          <w:sz w:val="24"/>
        </w:rPr>
        <w:t>采购单位在授予政府采购合同时有权在政府采购有关规定的幅度内对项目要求规定的货物数量和服务予以增加或减少，但不得对单价或其它的条款和条件做任何改变。</w:t>
      </w:r>
    </w:p>
    <w:p w14:paraId="37DCA467">
      <w:pPr>
        <w:kinsoku/>
        <w:spacing w:line="360" w:lineRule="auto"/>
        <w:ind w:firstLine="482" w:firstLineChars="200"/>
        <w:outlineLvl w:val="1"/>
        <w:rPr>
          <w:rFonts w:hint="eastAsia" w:ascii="宋体" w:hAnsi="宋体" w:eastAsia="宋体" w:cs="宋体"/>
          <w:b/>
          <w:bCs/>
          <w:sz w:val="24"/>
          <w:szCs w:val="24"/>
        </w:rPr>
      </w:pPr>
      <w:bookmarkStart w:id="55" w:name="_Toc20753"/>
      <w:bookmarkStart w:id="56" w:name="_Toc16931"/>
      <w:bookmarkStart w:id="57" w:name="_Toc12309"/>
      <w:bookmarkStart w:id="58" w:name="_Toc16770"/>
      <w:bookmarkStart w:id="59" w:name="_Toc23688"/>
      <w:bookmarkStart w:id="60" w:name="_Toc15847"/>
      <w:bookmarkStart w:id="61" w:name="_Toc9930"/>
      <w:r>
        <w:rPr>
          <w:rFonts w:hint="eastAsia" w:ascii="宋体" w:hAnsi="宋体" w:eastAsia="宋体" w:cs="宋体"/>
          <w:b/>
          <w:bCs/>
          <w:sz w:val="24"/>
          <w:szCs w:val="24"/>
        </w:rPr>
        <w:t>二、投标报价</w:t>
      </w:r>
      <w:bookmarkEnd w:id="55"/>
      <w:bookmarkEnd w:id="56"/>
      <w:bookmarkEnd w:id="57"/>
      <w:bookmarkEnd w:id="58"/>
      <w:bookmarkEnd w:id="59"/>
      <w:bookmarkEnd w:id="60"/>
      <w:bookmarkEnd w:id="61"/>
    </w:p>
    <w:p w14:paraId="4C168E00">
      <w:pPr>
        <w:pStyle w:val="31"/>
        <w:numPr>
          <w:ilvl w:val="0"/>
          <w:numId w:val="4"/>
        </w:numPr>
        <w:kinsoku/>
        <w:spacing w:line="360" w:lineRule="auto"/>
        <w:ind w:left="0" w:firstLine="424" w:firstLineChars="177"/>
        <w:rPr>
          <w:rFonts w:hint="eastAsia" w:ascii="宋体" w:hAnsi="宋体" w:eastAsia="宋体" w:cs="宋体"/>
          <w:sz w:val="24"/>
          <w:szCs w:val="24"/>
        </w:rPr>
      </w:pPr>
      <w:r>
        <w:rPr>
          <w:rFonts w:hint="eastAsia" w:ascii="宋体" w:hAnsi="宋体" w:eastAsia="宋体" w:cs="宋体"/>
          <w:sz w:val="24"/>
          <w:szCs w:val="24"/>
        </w:rPr>
        <w:t>投标报价要求按招标文件要求报价，并按招标文件中所附《投标函》《投标报价表》格式填写。</w:t>
      </w:r>
      <w:bookmarkStart w:id="62" w:name="_Toc4816"/>
    </w:p>
    <w:p w14:paraId="48888CF1">
      <w:pPr>
        <w:pStyle w:val="31"/>
        <w:numPr>
          <w:ilvl w:val="0"/>
          <w:numId w:val="4"/>
        </w:numPr>
        <w:kinsoku/>
        <w:spacing w:line="360" w:lineRule="auto"/>
        <w:ind w:left="0" w:firstLine="439" w:firstLineChars="183"/>
        <w:rPr>
          <w:rFonts w:hint="eastAsia" w:ascii="宋体" w:hAnsi="宋体" w:eastAsia="宋体" w:cs="宋体"/>
          <w:sz w:val="24"/>
          <w:szCs w:val="24"/>
        </w:rPr>
      </w:pPr>
      <w:r>
        <w:rPr>
          <w:rFonts w:hint="eastAsia" w:ascii="宋体" w:hAnsi="宋体" w:eastAsia="宋体" w:cs="宋体"/>
          <w:sz w:val="24"/>
          <w:szCs w:val="24"/>
        </w:rPr>
        <w:t>所有投标均以人民币报价。</w:t>
      </w:r>
      <w:bookmarkEnd w:id="62"/>
    </w:p>
    <w:p w14:paraId="7C07BA43">
      <w:pPr>
        <w:pStyle w:val="31"/>
        <w:numPr>
          <w:ilvl w:val="0"/>
          <w:numId w:val="4"/>
        </w:numPr>
        <w:kinsoku/>
        <w:spacing w:line="360" w:lineRule="auto"/>
        <w:ind w:left="0" w:firstLine="424" w:firstLineChars="177"/>
        <w:rPr>
          <w:rFonts w:hint="eastAsia" w:ascii="宋体" w:hAnsi="宋体" w:eastAsia="宋体" w:cs="宋体"/>
          <w:sz w:val="24"/>
          <w:szCs w:val="24"/>
        </w:rPr>
      </w:pPr>
      <w:r>
        <w:rPr>
          <w:rFonts w:hint="eastAsia" w:ascii="宋体" w:hAnsi="宋体" w:eastAsia="宋体" w:cs="宋体"/>
          <w:sz w:val="24"/>
          <w:szCs w:val="24"/>
        </w:rPr>
        <w:t>投标人所报单价在本招标文件项下的合同履行期间不能因市场变化因素而变动。</w:t>
      </w:r>
    </w:p>
    <w:p w14:paraId="159B2FC1">
      <w:pPr>
        <w:pStyle w:val="31"/>
        <w:numPr>
          <w:ilvl w:val="0"/>
          <w:numId w:val="4"/>
        </w:numPr>
        <w:kinsoku/>
        <w:spacing w:line="360" w:lineRule="auto"/>
        <w:ind w:left="0" w:firstLine="424" w:firstLineChars="177"/>
        <w:rPr>
          <w:rFonts w:hint="eastAsia" w:ascii="宋体" w:hAnsi="宋体" w:eastAsia="宋体" w:cs="宋体"/>
          <w:sz w:val="24"/>
          <w:szCs w:val="24"/>
        </w:rPr>
      </w:pPr>
      <w:r>
        <w:rPr>
          <w:rFonts w:hint="eastAsia" w:ascii="宋体" w:hAnsi="宋体" w:eastAsia="宋体" w:cs="宋体"/>
          <w:sz w:val="24"/>
          <w:szCs w:val="24"/>
        </w:rPr>
        <w:t>投标人所报的各种价格均为含税到招标人指定地点交货价（包含产品</w:t>
      </w:r>
      <w:r>
        <w:rPr>
          <w:rFonts w:hint="eastAsia" w:ascii="宋体" w:hAnsi="宋体" w:eastAsia="宋体" w:cs="宋体"/>
          <w:sz w:val="24"/>
          <w:szCs w:val="24"/>
          <w:lang w:val="en-US" w:eastAsia="zh-CN"/>
        </w:rPr>
        <w:t>裁切、</w:t>
      </w:r>
      <w:r>
        <w:rPr>
          <w:rFonts w:hint="eastAsia" w:ascii="宋体" w:hAnsi="宋体" w:eastAsia="宋体" w:cs="宋体"/>
          <w:sz w:val="24"/>
          <w:szCs w:val="24"/>
        </w:rPr>
        <w:t>包装、运输、装卸等相关费用）；投标报价以元为单位，精确到小数点后两位数，超出两位按四舍五入计；包装物投标人不回收，费用由投标人负担。</w:t>
      </w:r>
    </w:p>
    <w:p w14:paraId="74E9DE3D">
      <w:pPr>
        <w:pStyle w:val="31"/>
        <w:numPr>
          <w:ilvl w:val="0"/>
          <w:numId w:val="4"/>
        </w:numPr>
        <w:kinsoku/>
        <w:topLinePunct/>
        <w:autoSpaceDN/>
        <w:spacing w:line="360" w:lineRule="auto"/>
        <w:ind w:left="0" w:firstLine="424" w:firstLineChars="177"/>
        <w:rPr>
          <w:rFonts w:hint="eastAsia" w:ascii="宋体" w:hAnsi="宋体" w:eastAsia="宋体" w:cs="宋体"/>
          <w:sz w:val="24"/>
          <w:szCs w:val="24"/>
        </w:rPr>
      </w:pPr>
      <w:r>
        <w:rPr>
          <w:rFonts w:hint="eastAsia" w:ascii="宋体" w:hAnsi="宋体" w:eastAsia="宋体" w:cs="宋体"/>
          <w:sz w:val="24"/>
          <w:szCs w:val="24"/>
        </w:rPr>
        <w:t>招标人有权重视各投标人全部报价的合理性。所有投标人不能相互串通、哄抬报价，若有发现，招标人有权宣布其投标无效。</w:t>
      </w:r>
    </w:p>
    <w:p w14:paraId="27ACBBED">
      <w:pPr>
        <w:kinsoku/>
        <w:spacing w:line="360" w:lineRule="auto"/>
        <w:ind w:firstLine="482" w:firstLineChars="200"/>
        <w:outlineLvl w:val="1"/>
        <w:rPr>
          <w:rFonts w:hint="eastAsia" w:ascii="宋体" w:hAnsi="宋体" w:eastAsia="宋体" w:cs="宋体"/>
          <w:b/>
          <w:bCs/>
          <w:sz w:val="24"/>
          <w:szCs w:val="24"/>
        </w:rPr>
      </w:pPr>
      <w:bookmarkStart w:id="63" w:name="_Toc14547"/>
      <w:bookmarkStart w:id="64" w:name="_Toc6704"/>
      <w:bookmarkStart w:id="65" w:name="_Toc13329"/>
      <w:bookmarkStart w:id="66" w:name="_Toc24896"/>
      <w:bookmarkStart w:id="67" w:name="_Toc2348"/>
      <w:bookmarkStart w:id="68" w:name="_Toc23959"/>
      <w:bookmarkStart w:id="69" w:name="_Toc19945"/>
      <w:r>
        <w:rPr>
          <w:rFonts w:hint="eastAsia" w:ascii="宋体" w:hAnsi="宋体" w:eastAsia="宋体" w:cs="宋体"/>
          <w:b/>
          <w:bCs/>
          <w:sz w:val="24"/>
          <w:szCs w:val="24"/>
        </w:rPr>
        <w:t>三、投标文件</w:t>
      </w:r>
      <w:bookmarkEnd w:id="63"/>
      <w:bookmarkEnd w:id="64"/>
      <w:bookmarkEnd w:id="65"/>
      <w:bookmarkEnd w:id="66"/>
      <w:bookmarkEnd w:id="67"/>
      <w:bookmarkEnd w:id="68"/>
      <w:bookmarkEnd w:id="69"/>
    </w:p>
    <w:p w14:paraId="14574961">
      <w:pPr>
        <w:pStyle w:val="31"/>
        <w:numPr>
          <w:ilvl w:val="0"/>
          <w:numId w:val="5"/>
        </w:numPr>
        <w:kinsoku/>
        <w:spacing w:line="360" w:lineRule="auto"/>
        <w:ind w:left="0" w:leftChars="0" w:firstLine="480" w:firstLineChars="200"/>
        <w:outlineLvl w:val="9"/>
        <w:rPr>
          <w:rFonts w:hint="eastAsia" w:ascii="宋体" w:hAnsi="宋体" w:eastAsia="宋体" w:cs="宋体"/>
          <w:sz w:val="24"/>
          <w:szCs w:val="24"/>
        </w:rPr>
      </w:pPr>
      <w:bookmarkStart w:id="70" w:name="_Toc7457"/>
      <w:bookmarkStart w:id="71" w:name="_Toc4321"/>
      <w:bookmarkStart w:id="72" w:name="_Toc30571"/>
      <w:bookmarkStart w:id="73" w:name="_Toc2231"/>
      <w:bookmarkStart w:id="74" w:name="_Toc11398"/>
      <w:bookmarkStart w:id="75" w:name="_Toc29954"/>
      <w:bookmarkStart w:id="76" w:name="_Toc30156"/>
      <w:r>
        <w:rPr>
          <w:rFonts w:hint="eastAsia" w:ascii="宋体" w:hAnsi="宋体" w:eastAsia="宋体" w:cs="宋体"/>
          <w:sz w:val="24"/>
          <w:szCs w:val="24"/>
        </w:rPr>
        <w:t>投标人应填写其单位名称全称。</w:t>
      </w:r>
      <w:bookmarkEnd w:id="70"/>
      <w:bookmarkEnd w:id="71"/>
      <w:bookmarkEnd w:id="72"/>
      <w:bookmarkEnd w:id="73"/>
      <w:bookmarkEnd w:id="74"/>
      <w:bookmarkEnd w:id="75"/>
      <w:bookmarkEnd w:id="76"/>
    </w:p>
    <w:p w14:paraId="0BD17F9C">
      <w:pPr>
        <w:pStyle w:val="31"/>
        <w:numPr>
          <w:ilvl w:val="0"/>
          <w:numId w:val="5"/>
        </w:numPr>
        <w:kinsoku/>
        <w:spacing w:line="360" w:lineRule="auto"/>
        <w:ind w:left="0" w:firstLine="480"/>
        <w:rPr>
          <w:rFonts w:hint="eastAsia" w:ascii="宋体" w:hAnsi="宋体" w:eastAsia="宋体" w:cs="宋体"/>
          <w:sz w:val="24"/>
          <w:szCs w:val="24"/>
        </w:rPr>
      </w:pPr>
      <w:r>
        <w:rPr>
          <w:rFonts w:hint="eastAsia" w:ascii="宋体" w:hAnsi="宋体" w:eastAsia="宋体" w:cs="宋体"/>
          <w:sz w:val="24"/>
          <w:szCs w:val="24"/>
        </w:rPr>
        <w:t>投标文件包括《投标函》《投标报价表》《投标人产品质量承诺函》和资格证明文件。资格证明文件包含上述投标资格要求中的所有资料。</w:t>
      </w:r>
    </w:p>
    <w:p w14:paraId="5896FAD0">
      <w:pPr>
        <w:pStyle w:val="31"/>
        <w:widowControl w:val="0"/>
        <w:numPr>
          <w:ilvl w:val="0"/>
          <w:numId w:val="5"/>
        </w:numPr>
        <w:kinsoku/>
        <w:spacing w:line="360" w:lineRule="auto"/>
        <w:ind w:left="0" w:firstLine="480"/>
        <w:rPr>
          <w:rFonts w:hint="eastAsia" w:ascii="宋体" w:hAnsi="宋体" w:eastAsia="宋体" w:cs="宋体"/>
          <w:sz w:val="24"/>
          <w:szCs w:val="24"/>
        </w:rPr>
      </w:pPr>
      <w:r>
        <w:rPr>
          <w:rFonts w:hint="eastAsia" w:ascii="宋体" w:hAnsi="宋体" w:eastAsia="宋体" w:cs="宋体"/>
          <w:sz w:val="24"/>
          <w:szCs w:val="24"/>
        </w:rPr>
        <w:t>《投标函》《投标报价表》《投标人产品质量承诺函》须加盖投标人公章，由其法定代表人或其委托代理人亲笔签字。</w:t>
      </w:r>
    </w:p>
    <w:p w14:paraId="07A4899F">
      <w:pPr>
        <w:pStyle w:val="31"/>
        <w:widowControl w:val="0"/>
        <w:numPr>
          <w:ilvl w:val="0"/>
          <w:numId w:val="5"/>
        </w:numPr>
        <w:kinsoku/>
        <w:spacing w:line="360" w:lineRule="auto"/>
        <w:ind w:left="0" w:firstLine="480"/>
        <w:rPr>
          <w:rFonts w:hint="eastAsia" w:ascii="宋体" w:hAnsi="宋体" w:eastAsia="宋体" w:cs="宋体"/>
          <w:sz w:val="24"/>
          <w:szCs w:val="24"/>
        </w:rPr>
      </w:pPr>
      <w:r>
        <w:rPr>
          <w:rFonts w:hint="eastAsia" w:ascii="宋体" w:hAnsi="宋体" w:eastAsia="宋体" w:cs="宋体"/>
          <w:sz w:val="24"/>
          <w:szCs w:val="24"/>
        </w:rPr>
        <w:t>自开标之日起60天内，投标文件应保持有效。有效期短于前述规定期限的投标，将被拒绝。</w:t>
      </w:r>
    </w:p>
    <w:p w14:paraId="4B82661E">
      <w:pPr>
        <w:kinsoku/>
        <w:spacing w:line="360" w:lineRule="auto"/>
        <w:ind w:firstLine="482" w:firstLineChars="200"/>
        <w:outlineLvl w:val="1"/>
        <w:rPr>
          <w:rFonts w:hint="eastAsia" w:ascii="宋体" w:hAnsi="宋体" w:eastAsia="宋体" w:cs="宋体"/>
          <w:b/>
          <w:bCs/>
          <w:sz w:val="24"/>
          <w:szCs w:val="24"/>
        </w:rPr>
      </w:pPr>
      <w:bookmarkStart w:id="77" w:name="_Toc20912"/>
      <w:bookmarkStart w:id="78" w:name="_Toc23458"/>
      <w:bookmarkStart w:id="79" w:name="_Toc18677"/>
      <w:bookmarkStart w:id="80" w:name="_Toc15210"/>
      <w:bookmarkStart w:id="81" w:name="_Toc8"/>
      <w:bookmarkStart w:id="82" w:name="_Toc14760"/>
      <w:bookmarkStart w:id="83" w:name="_Toc29111"/>
      <w:r>
        <w:rPr>
          <w:rFonts w:hint="eastAsia" w:ascii="宋体" w:hAnsi="宋体" w:eastAsia="宋体" w:cs="宋体"/>
          <w:b/>
          <w:bCs/>
          <w:sz w:val="24"/>
          <w:szCs w:val="24"/>
        </w:rPr>
        <w:t>四、开标、评标、定标</w:t>
      </w:r>
      <w:bookmarkEnd w:id="77"/>
      <w:bookmarkEnd w:id="78"/>
      <w:bookmarkEnd w:id="79"/>
      <w:bookmarkEnd w:id="80"/>
      <w:bookmarkEnd w:id="81"/>
      <w:bookmarkEnd w:id="82"/>
      <w:bookmarkEnd w:id="83"/>
    </w:p>
    <w:p w14:paraId="0FF2611A">
      <w:pPr>
        <w:pStyle w:val="31"/>
        <w:numPr>
          <w:ilvl w:val="0"/>
          <w:numId w:val="6"/>
        </w:numPr>
        <w:kinsoku/>
        <w:spacing w:line="360" w:lineRule="auto"/>
        <w:ind w:left="0" w:leftChars="0" w:firstLine="480" w:firstLineChars="200"/>
        <w:outlineLvl w:val="9"/>
        <w:rPr>
          <w:rFonts w:hint="eastAsia" w:ascii="宋体" w:hAnsi="宋体" w:eastAsia="宋体" w:cs="宋体"/>
          <w:sz w:val="24"/>
          <w:szCs w:val="24"/>
        </w:rPr>
      </w:pPr>
      <w:bookmarkStart w:id="84" w:name="_Toc31780"/>
      <w:bookmarkStart w:id="85" w:name="_Toc998"/>
      <w:bookmarkStart w:id="86" w:name="_Toc29386"/>
      <w:bookmarkStart w:id="87" w:name="_Toc20255"/>
      <w:bookmarkStart w:id="88" w:name="_Toc31820"/>
      <w:bookmarkStart w:id="89" w:name="_Toc5695"/>
      <w:bookmarkStart w:id="90" w:name="_Toc3331"/>
      <w:r>
        <w:rPr>
          <w:rFonts w:hint="eastAsia" w:ascii="宋体" w:hAnsi="宋体" w:eastAsia="宋体" w:cs="宋体"/>
          <w:sz w:val="24"/>
          <w:szCs w:val="24"/>
        </w:rPr>
        <w:t>开标时，将按照招标人有关招投标规定执行。</w:t>
      </w:r>
      <w:bookmarkEnd w:id="84"/>
      <w:bookmarkEnd w:id="85"/>
      <w:bookmarkEnd w:id="86"/>
      <w:bookmarkEnd w:id="87"/>
      <w:bookmarkEnd w:id="88"/>
      <w:bookmarkEnd w:id="89"/>
      <w:bookmarkEnd w:id="90"/>
    </w:p>
    <w:p w14:paraId="724C8222">
      <w:pPr>
        <w:pStyle w:val="31"/>
        <w:numPr>
          <w:ilvl w:val="0"/>
          <w:numId w:val="6"/>
        </w:numPr>
        <w:kinsoku/>
        <w:spacing w:line="360" w:lineRule="auto"/>
        <w:ind w:left="0" w:firstLine="480"/>
        <w:rPr>
          <w:rFonts w:hint="eastAsia" w:ascii="宋体" w:hAnsi="宋体" w:eastAsia="宋体" w:cs="宋体"/>
          <w:sz w:val="24"/>
          <w:szCs w:val="24"/>
        </w:rPr>
      </w:pPr>
      <w:r>
        <w:rPr>
          <w:rFonts w:hint="eastAsia" w:ascii="宋体" w:hAnsi="宋体" w:eastAsia="宋体" w:cs="宋体"/>
          <w:sz w:val="24"/>
          <w:szCs w:val="24"/>
        </w:rPr>
        <w:t>开标后由招标人组建的评标委员会进行评标，以经评审的</w:t>
      </w:r>
      <w:r>
        <w:rPr>
          <w:rFonts w:hint="eastAsia" w:ascii="宋体" w:hAnsi="宋体" w:eastAsia="宋体" w:cs="宋体"/>
          <w:sz w:val="24"/>
          <w:szCs w:val="24"/>
          <w:lang w:val="en-US" w:eastAsia="zh-CN"/>
        </w:rPr>
        <w:t>综合</w:t>
      </w:r>
      <w:r>
        <w:rPr>
          <w:rFonts w:hint="eastAsia" w:ascii="宋体" w:hAnsi="宋体" w:eastAsia="宋体" w:cs="宋体"/>
          <w:sz w:val="24"/>
          <w:szCs w:val="24"/>
        </w:rPr>
        <w:t>评标价法确定中标人。</w:t>
      </w:r>
    </w:p>
    <w:p w14:paraId="11A884E5">
      <w:pPr>
        <w:pStyle w:val="31"/>
        <w:numPr>
          <w:ilvl w:val="0"/>
          <w:numId w:val="6"/>
        </w:numPr>
        <w:kinsoku/>
        <w:spacing w:line="360" w:lineRule="auto"/>
        <w:ind w:left="0" w:leftChars="0" w:firstLine="480" w:firstLineChars="200"/>
        <w:outlineLvl w:val="9"/>
        <w:rPr>
          <w:rFonts w:hint="eastAsia" w:ascii="宋体" w:hAnsi="宋体" w:eastAsia="宋体" w:cs="宋体"/>
          <w:sz w:val="24"/>
          <w:szCs w:val="24"/>
        </w:rPr>
      </w:pPr>
      <w:bookmarkStart w:id="91" w:name="_Toc12"/>
      <w:bookmarkStart w:id="92" w:name="_Toc26371"/>
      <w:bookmarkStart w:id="93" w:name="_Toc14086"/>
      <w:bookmarkStart w:id="94" w:name="_Toc6426"/>
      <w:bookmarkStart w:id="95" w:name="_Toc25173"/>
      <w:bookmarkStart w:id="96" w:name="_Toc24129"/>
      <w:bookmarkStart w:id="97" w:name="_Toc18886"/>
      <w:r>
        <w:rPr>
          <w:rFonts w:hint="eastAsia" w:ascii="宋体" w:hAnsi="宋体" w:eastAsia="宋体" w:cs="宋体"/>
          <w:sz w:val="24"/>
          <w:szCs w:val="24"/>
        </w:rPr>
        <w:t>招标人不对未中标的投标人作任何解释，不退还投标文件。</w:t>
      </w:r>
      <w:bookmarkEnd w:id="91"/>
      <w:bookmarkEnd w:id="92"/>
      <w:bookmarkEnd w:id="93"/>
      <w:bookmarkEnd w:id="94"/>
      <w:bookmarkEnd w:id="95"/>
      <w:bookmarkEnd w:id="96"/>
      <w:bookmarkEnd w:id="97"/>
    </w:p>
    <w:p w14:paraId="3F86473F">
      <w:pPr>
        <w:pStyle w:val="31"/>
        <w:numPr>
          <w:ilvl w:val="0"/>
          <w:numId w:val="6"/>
        </w:numPr>
        <w:kinsoku/>
        <w:spacing w:line="360" w:lineRule="auto"/>
        <w:ind w:left="0" w:leftChars="0" w:firstLine="480" w:firstLineChars="200"/>
        <w:outlineLvl w:val="9"/>
        <w:rPr>
          <w:rFonts w:hint="eastAsia" w:ascii="宋体" w:hAnsi="宋体" w:eastAsia="宋体" w:cs="宋体"/>
          <w:sz w:val="24"/>
          <w:szCs w:val="24"/>
        </w:rPr>
      </w:pPr>
      <w:r>
        <w:rPr>
          <w:rFonts w:hint="eastAsia" w:ascii="宋体" w:hAnsi="宋体" w:eastAsia="宋体" w:cs="宋体"/>
          <w:sz w:val="24"/>
          <w:szCs w:val="24"/>
        </w:rPr>
        <w:t>采购单位及采购代理机构可以视采购具体情况，延长投标截止时间和开标时间，但至少应当在招标文件要求提交投标文件的截止时间三日前，</w:t>
      </w:r>
      <w:r>
        <w:rPr>
          <w:rFonts w:hint="eastAsia" w:ascii="宋体" w:hAnsi="宋体" w:eastAsia="宋体" w:cs="宋体"/>
          <w:sz w:val="24"/>
          <w:szCs w:val="24"/>
          <w:lang w:val="en-US" w:eastAsia="zh-CN"/>
        </w:rPr>
        <w:t>发布公告。</w:t>
      </w:r>
    </w:p>
    <w:p w14:paraId="17B3E48C">
      <w:pPr>
        <w:kinsoku/>
        <w:spacing w:line="360" w:lineRule="auto"/>
        <w:ind w:firstLine="482" w:firstLineChars="200"/>
        <w:outlineLvl w:val="1"/>
        <w:rPr>
          <w:rFonts w:hint="eastAsia" w:ascii="宋体" w:hAnsi="宋体" w:eastAsia="宋体" w:cs="宋体"/>
          <w:b/>
          <w:bCs/>
          <w:sz w:val="24"/>
          <w:szCs w:val="24"/>
        </w:rPr>
      </w:pPr>
      <w:bookmarkStart w:id="98" w:name="_Toc14292"/>
      <w:bookmarkStart w:id="99" w:name="_Toc25585"/>
      <w:bookmarkStart w:id="100" w:name="_Toc29662"/>
      <w:bookmarkStart w:id="101" w:name="_Toc2586"/>
      <w:bookmarkStart w:id="102" w:name="_Toc32748"/>
      <w:bookmarkStart w:id="103" w:name="_Toc25649"/>
      <w:bookmarkStart w:id="104" w:name="_Toc6326"/>
      <w:r>
        <w:rPr>
          <w:rFonts w:hint="eastAsia" w:ascii="宋体" w:hAnsi="宋体" w:eastAsia="宋体" w:cs="宋体"/>
          <w:b/>
          <w:bCs/>
          <w:sz w:val="24"/>
          <w:szCs w:val="24"/>
        </w:rPr>
        <w:t>五、纪律要求</w:t>
      </w:r>
      <w:bookmarkEnd w:id="98"/>
      <w:bookmarkEnd w:id="99"/>
      <w:bookmarkEnd w:id="100"/>
      <w:bookmarkEnd w:id="101"/>
      <w:bookmarkEnd w:id="102"/>
      <w:bookmarkEnd w:id="103"/>
      <w:bookmarkEnd w:id="104"/>
    </w:p>
    <w:p w14:paraId="37FDB8E8">
      <w:pPr>
        <w:pStyle w:val="31"/>
        <w:numPr>
          <w:ilvl w:val="0"/>
          <w:numId w:val="7"/>
        </w:numPr>
        <w:kinsoku/>
        <w:spacing w:line="360" w:lineRule="auto"/>
        <w:ind w:left="0" w:firstLine="480"/>
        <w:rPr>
          <w:rFonts w:hint="eastAsia" w:ascii="宋体" w:hAnsi="宋体" w:eastAsia="宋体" w:cs="宋体"/>
          <w:sz w:val="24"/>
          <w:szCs w:val="24"/>
        </w:rPr>
      </w:pPr>
      <w:r>
        <w:rPr>
          <w:rFonts w:hint="eastAsia" w:ascii="宋体" w:hAnsi="宋体" w:eastAsia="宋体" w:cs="宋体"/>
          <w:sz w:val="24"/>
          <w:szCs w:val="24"/>
        </w:rPr>
        <w:t>投标人不得相互串通投标或者与招标人串通投标，不得向招标人或者评标委员会及其组成人员行贿谋取中标，不得以他人名义投标或者以其他方式弄虚作假骗取中标；投标人不得以任何方式干扰、影响评标工作。</w:t>
      </w:r>
    </w:p>
    <w:p w14:paraId="1A4DC963">
      <w:pPr>
        <w:pStyle w:val="31"/>
        <w:numPr>
          <w:ilvl w:val="0"/>
          <w:numId w:val="7"/>
        </w:numPr>
        <w:kinsoku/>
        <w:spacing w:line="360" w:lineRule="auto"/>
        <w:ind w:left="0" w:firstLine="480"/>
        <w:rPr>
          <w:rFonts w:hint="eastAsia" w:ascii="宋体" w:hAnsi="宋体" w:eastAsia="宋体" w:cs="宋体"/>
          <w:sz w:val="24"/>
          <w:szCs w:val="24"/>
        </w:rPr>
      </w:pPr>
      <w:r>
        <w:rPr>
          <w:rFonts w:hint="eastAsia" w:ascii="宋体" w:hAnsi="宋体" w:eastAsia="宋体" w:cs="宋体"/>
          <w:sz w:val="24"/>
          <w:szCs w:val="24"/>
        </w:rPr>
        <w:t>评标委员会及其组成人员应严格自律，严格遵守国家法律、法规，并接受监察部门的监督。</w:t>
      </w:r>
    </w:p>
    <w:p w14:paraId="40F2B354">
      <w:pPr>
        <w:kinsoku/>
        <w:spacing w:line="360" w:lineRule="auto"/>
        <w:ind w:firstLine="482" w:firstLineChars="200"/>
        <w:outlineLvl w:val="1"/>
        <w:rPr>
          <w:rFonts w:hint="eastAsia" w:ascii="宋体" w:hAnsi="宋体" w:eastAsia="宋体" w:cs="宋体"/>
          <w:b/>
          <w:bCs/>
          <w:sz w:val="24"/>
          <w:szCs w:val="24"/>
        </w:rPr>
      </w:pPr>
      <w:bookmarkStart w:id="105" w:name="_Toc13559"/>
      <w:bookmarkStart w:id="106" w:name="_Toc9588"/>
      <w:bookmarkStart w:id="107" w:name="_Toc23438"/>
      <w:bookmarkStart w:id="108" w:name="_Toc3302"/>
      <w:bookmarkStart w:id="109" w:name="_Toc32715"/>
      <w:bookmarkStart w:id="110" w:name="_Toc7771"/>
      <w:bookmarkStart w:id="111" w:name="_Toc11099"/>
      <w:r>
        <w:rPr>
          <w:rFonts w:hint="eastAsia" w:ascii="宋体" w:hAnsi="宋体" w:eastAsia="宋体" w:cs="宋体"/>
          <w:b/>
          <w:bCs/>
          <w:sz w:val="24"/>
          <w:szCs w:val="24"/>
        </w:rPr>
        <w:t>六、其他</w:t>
      </w:r>
      <w:bookmarkEnd w:id="105"/>
      <w:bookmarkEnd w:id="106"/>
      <w:bookmarkEnd w:id="107"/>
      <w:bookmarkEnd w:id="108"/>
      <w:bookmarkEnd w:id="109"/>
      <w:bookmarkEnd w:id="110"/>
      <w:bookmarkEnd w:id="111"/>
    </w:p>
    <w:p w14:paraId="4FD80099">
      <w:pPr>
        <w:pStyle w:val="31"/>
        <w:numPr>
          <w:ilvl w:val="0"/>
          <w:numId w:val="8"/>
        </w:numPr>
        <w:kinsoku/>
        <w:spacing w:line="360" w:lineRule="auto"/>
        <w:ind w:left="0" w:firstLine="480"/>
        <w:rPr>
          <w:rFonts w:hint="eastAsia" w:ascii="宋体" w:hAnsi="宋体" w:eastAsia="宋体" w:cs="宋体"/>
          <w:sz w:val="24"/>
          <w:szCs w:val="24"/>
        </w:rPr>
      </w:pPr>
      <w:r>
        <w:rPr>
          <w:rFonts w:hint="eastAsia" w:ascii="宋体" w:hAnsi="宋体" w:eastAsia="宋体" w:cs="宋体"/>
          <w:sz w:val="24"/>
          <w:szCs w:val="24"/>
        </w:rPr>
        <w:t>中标人若改变原材料配方和生产工艺，需征得招标人同意，并需重新认可。</w:t>
      </w:r>
    </w:p>
    <w:p w14:paraId="1DB79A61">
      <w:pPr>
        <w:pStyle w:val="31"/>
        <w:numPr>
          <w:ilvl w:val="0"/>
          <w:numId w:val="8"/>
        </w:numPr>
        <w:kinsoku/>
        <w:spacing w:line="360" w:lineRule="auto"/>
        <w:ind w:left="0" w:firstLine="480"/>
        <w:rPr>
          <w:rFonts w:hint="eastAsia" w:ascii="宋体" w:hAnsi="宋体" w:eastAsia="宋体" w:cs="宋体"/>
          <w:sz w:val="24"/>
          <w:szCs w:val="24"/>
        </w:rPr>
      </w:pPr>
      <w:r>
        <w:rPr>
          <w:rFonts w:hint="eastAsia" w:ascii="宋体" w:hAnsi="宋体" w:eastAsia="宋体" w:cs="宋体"/>
          <w:sz w:val="24"/>
          <w:szCs w:val="24"/>
          <w:lang w:val="en-US" w:eastAsia="zh-CN"/>
        </w:rPr>
        <w:t>中标人可与招标人主体及子公司签订合同。</w:t>
      </w:r>
    </w:p>
    <w:p w14:paraId="18517E64">
      <w:pPr>
        <w:pStyle w:val="31"/>
        <w:numPr>
          <w:ilvl w:val="0"/>
          <w:numId w:val="8"/>
        </w:numPr>
        <w:kinsoku/>
        <w:spacing w:line="360" w:lineRule="auto"/>
        <w:ind w:left="0" w:firstLine="480"/>
        <w:rPr>
          <w:rFonts w:hint="eastAsia" w:ascii="宋体" w:hAnsi="宋体" w:eastAsia="宋体" w:cs="宋体"/>
          <w:sz w:val="24"/>
          <w:szCs w:val="24"/>
        </w:rPr>
      </w:pPr>
      <w:r>
        <w:rPr>
          <w:rFonts w:hint="eastAsia" w:ascii="宋体" w:hAnsi="宋体" w:eastAsia="宋体" w:cs="宋体"/>
          <w:sz w:val="24"/>
          <w:szCs w:val="24"/>
        </w:rPr>
        <w:t>参加招投标活动的各方应视本次招投标活动的任何信息为秘密，在没有事先征得对方的书面同意的情况下，任何一方不得以任何方式向第三人公布、传递或透露任何信息，违者应对由此造成的后果承担法律责任。</w:t>
      </w:r>
    </w:p>
    <w:p w14:paraId="7B84A3A6">
      <w:pPr>
        <w:rPr>
          <w:rFonts w:hint="eastAsia" w:ascii="宋体" w:hAnsi="宋体" w:eastAsia="宋体" w:cs="宋体"/>
        </w:rPr>
      </w:pPr>
    </w:p>
    <w:p w14:paraId="747DFF56">
      <w:pPr>
        <w:rPr>
          <w:rFonts w:hint="eastAsia" w:ascii="宋体" w:hAnsi="宋体" w:eastAsia="宋体" w:cs="宋体"/>
        </w:rPr>
      </w:pPr>
    </w:p>
    <w:p w14:paraId="0E6EEADD">
      <w:pPr>
        <w:rPr>
          <w:rFonts w:hint="eastAsia" w:ascii="宋体" w:hAnsi="宋体" w:eastAsia="宋体" w:cs="宋体"/>
        </w:rPr>
      </w:pPr>
    </w:p>
    <w:p w14:paraId="3842F2A8">
      <w:pPr>
        <w:rPr>
          <w:rFonts w:hint="eastAsia" w:ascii="宋体" w:hAnsi="宋体" w:eastAsia="宋体" w:cs="宋体"/>
        </w:rPr>
      </w:pPr>
    </w:p>
    <w:p w14:paraId="4C812737">
      <w:pPr>
        <w:rPr>
          <w:rFonts w:hint="eastAsia" w:ascii="宋体" w:hAnsi="宋体" w:eastAsia="宋体" w:cs="宋体"/>
        </w:rPr>
      </w:pPr>
    </w:p>
    <w:p w14:paraId="5DB34943">
      <w:pPr>
        <w:rPr>
          <w:rFonts w:hint="eastAsia" w:ascii="宋体" w:hAnsi="宋体" w:eastAsia="宋体" w:cs="宋体"/>
        </w:rPr>
      </w:pPr>
    </w:p>
    <w:p w14:paraId="285968CA">
      <w:pPr>
        <w:rPr>
          <w:rFonts w:hint="eastAsia" w:ascii="宋体" w:hAnsi="宋体" w:eastAsia="宋体" w:cs="宋体"/>
        </w:rPr>
      </w:pPr>
    </w:p>
    <w:p w14:paraId="4F89C659">
      <w:pPr>
        <w:rPr>
          <w:rFonts w:hint="eastAsia" w:ascii="宋体" w:hAnsi="宋体" w:eastAsia="宋体" w:cs="宋体"/>
        </w:rPr>
      </w:pPr>
    </w:p>
    <w:p w14:paraId="64FAC694">
      <w:pPr>
        <w:rPr>
          <w:rFonts w:hint="eastAsia" w:ascii="宋体" w:hAnsi="宋体" w:eastAsia="宋体" w:cs="宋体"/>
        </w:rPr>
      </w:pPr>
    </w:p>
    <w:p w14:paraId="31D10B52">
      <w:pPr>
        <w:rPr>
          <w:rFonts w:hint="eastAsia" w:ascii="宋体" w:hAnsi="宋体" w:eastAsia="宋体" w:cs="宋体"/>
        </w:rPr>
      </w:pPr>
    </w:p>
    <w:p w14:paraId="236F8103">
      <w:pPr>
        <w:rPr>
          <w:rFonts w:hint="eastAsia" w:ascii="宋体" w:hAnsi="宋体" w:eastAsia="宋体" w:cs="宋体"/>
        </w:rPr>
      </w:pPr>
    </w:p>
    <w:p w14:paraId="3A16E092">
      <w:pPr>
        <w:rPr>
          <w:rFonts w:hint="eastAsia" w:ascii="宋体" w:hAnsi="宋体" w:eastAsia="宋体" w:cs="宋体"/>
        </w:rPr>
      </w:pPr>
    </w:p>
    <w:p w14:paraId="33DA8C4B">
      <w:pPr>
        <w:rPr>
          <w:rFonts w:hint="eastAsia" w:ascii="宋体" w:hAnsi="宋体" w:eastAsia="宋体" w:cs="宋体"/>
        </w:rPr>
      </w:pPr>
    </w:p>
    <w:p w14:paraId="4F33421F">
      <w:pPr>
        <w:rPr>
          <w:rFonts w:hint="eastAsia" w:ascii="宋体" w:hAnsi="宋体" w:eastAsia="宋体" w:cs="宋体"/>
        </w:rPr>
      </w:pPr>
    </w:p>
    <w:p w14:paraId="3A2FCD03">
      <w:pPr>
        <w:spacing w:before="240" w:beforeLines="100" w:after="120" w:afterLines="50" w:line="360" w:lineRule="auto"/>
        <w:jc w:val="center"/>
        <w:outlineLvl w:val="9"/>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bookmarkStart w:id="112" w:name="_Toc14035"/>
      <w:bookmarkStart w:id="113" w:name="_Toc26223"/>
    </w:p>
    <w:p w14:paraId="7C77A204">
      <w:pPr>
        <w:spacing w:before="240" w:beforeLines="100" w:after="120" w:afterLines="50" w:line="360" w:lineRule="auto"/>
        <w:jc w:val="center"/>
        <w:outlineLvl w:val="9"/>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p>
    <w:p w14:paraId="7376510D">
      <w:pPr>
        <w:spacing w:before="240" w:beforeLines="100" w:after="120" w:afterLines="50" w:line="360" w:lineRule="auto"/>
        <w:jc w:val="center"/>
        <w:outlineLvl w:val="9"/>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p>
    <w:p w14:paraId="64604B9C">
      <w:pPr>
        <w:spacing w:before="240" w:beforeLines="100" w:after="120" w:afterLines="50" w:line="360" w:lineRule="auto"/>
        <w:jc w:val="center"/>
        <w:outlineLvl w:val="9"/>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p>
    <w:p w14:paraId="26A244BE">
      <w:pPr>
        <w:spacing w:before="240" w:beforeLines="100" w:after="120" w:afterLines="50" w:line="360" w:lineRule="auto"/>
        <w:jc w:val="center"/>
        <w:outlineLvl w:val="9"/>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p>
    <w:p w14:paraId="04F05197">
      <w:pPr>
        <w:spacing w:before="240" w:beforeLines="100" w:after="120" w:afterLines="50" w:line="360" w:lineRule="auto"/>
        <w:jc w:val="both"/>
        <w:outlineLvl w:val="9"/>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p>
    <w:p w14:paraId="074B7BD4">
      <w:pPr>
        <w:spacing w:before="240" w:beforeLines="100" w:after="120" w:afterLines="50" w:line="360" w:lineRule="auto"/>
        <w:jc w:val="center"/>
        <w:outlineLvl w:val="0"/>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bookmarkStart w:id="114" w:name="_Toc18267"/>
      <w:bookmarkStart w:id="115" w:name="_Toc6559"/>
      <w:r>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t>四、评标办法</w:t>
      </w:r>
      <w:bookmarkEnd w:id="112"/>
      <w:bookmarkEnd w:id="113"/>
      <w:bookmarkEnd w:id="114"/>
      <w:bookmarkEnd w:id="115"/>
    </w:p>
    <w:p w14:paraId="69D29DDB">
      <w:pPr>
        <w:pStyle w:val="13"/>
        <w:keepNext w:val="0"/>
        <w:keepLines w:val="0"/>
        <w:pageBreakBefore w:val="0"/>
        <w:kinsoku/>
        <w:wordWrap/>
        <w:overflowPunct/>
        <w:topLinePunct w:val="0"/>
        <w:autoSpaceDE/>
        <w:autoSpaceDN/>
        <w:bidi w:val="0"/>
        <w:adjustRightInd/>
        <w:snapToGrid/>
        <w:spacing w:after="0" w:line="360" w:lineRule="auto"/>
        <w:ind w:left="0" w:leftChars="0" w:firstLine="482" w:firstLineChars="200"/>
        <w:textAlignment w:val="auto"/>
        <w:outlineLvl w:val="1"/>
        <w:rPr>
          <w:rFonts w:hint="eastAsia" w:ascii="宋体" w:hAnsi="宋体" w:eastAsia="宋体" w:cs="宋体"/>
          <w:b/>
          <w:bCs/>
          <w:color w:val="auto"/>
          <w:sz w:val="24"/>
        </w:rPr>
      </w:pPr>
      <w:bookmarkStart w:id="116" w:name="_Toc15087"/>
      <w:r>
        <w:rPr>
          <w:rFonts w:hint="eastAsia" w:ascii="宋体" w:hAnsi="宋体" w:eastAsia="宋体" w:cs="宋体"/>
          <w:b/>
          <w:bCs/>
          <w:color w:val="auto"/>
          <w:sz w:val="24"/>
          <w:lang w:val="en-US" w:eastAsia="zh-CN"/>
        </w:rPr>
        <w:t>1.</w:t>
      </w:r>
      <w:r>
        <w:rPr>
          <w:rFonts w:hint="eastAsia" w:ascii="宋体" w:hAnsi="宋体" w:eastAsia="宋体" w:cs="宋体"/>
          <w:b/>
          <w:bCs/>
          <w:color w:val="auto"/>
          <w:sz w:val="24"/>
        </w:rPr>
        <w:t>评标原则</w:t>
      </w:r>
      <w:bookmarkEnd w:id="116"/>
    </w:p>
    <w:p w14:paraId="143BF2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评标工作应根据《中华人民共和国招标投标法》和国家、地</w:t>
      </w:r>
      <w:r>
        <w:rPr>
          <w:rFonts w:hint="eastAsia" w:ascii="宋体" w:hAnsi="宋体" w:eastAsia="宋体" w:cs="宋体"/>
          <w:color w:val="auto"/>
          <w:sz w:val="24"/>
          <w:lang w:eastAsia="zh-CN"/>
        </w:rPr>
        <w:t>方</w:t>
      </w:r>
      <w:r>
        <w:rPr>
          <w:rFonts w:hint="eastAsia" w:ascii="宋体" w:hAnsi="宋体" w:eastAsia="宋体" w:cs="宋体"/>
          <w:color w:val="auto"/>
          <w:sz w:val="24"/>
        </w:rPr>
        <w:t>政府有关招标投标法规的有关规定，遵循“公平、公正、诚实信用、科学、择优”的原则进行。评标委员会将按照规定只对通过资格及响应性审查的各合格投标人进行评价和比较。</w:t>
      </w:r>
    </w:p>
    <w:p w14:paraId="0CD8A79E">
      <w:pPr>
        <w:keepNext w:val="0"/>
        <w:keepLines w:val="0"/>
        <w:pageBreakBefore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cs="宋体"/>
          <w:b/>
          <w:bCs/>
          <w:color w:val="auto"/>
          <w:sz w:val="24"/>
        </w:rPr>
      </w:pPr>
      <w:bookmarkStart w:id="117" w:name="_Toc9672"/>
      <w:r>
        <w:rPr>
          <w:rFonts w:hint="eastAsia" w:ascii="宋体" w:hAnsi="宋体" w:eastAsia="宋体" w:cs="宋体"/>
          <w:b/>
          <w:bCs/>
          <w:color w:val="auto"/>
          <w:sz w:val="24"/>
        </w:rPr>
        <w:t>2.评标办法类型</w:t>
      </w:r>
      <w:bookmarkEnd w:id="117"/>
    </w:p>
    <w:p w14:paraId="3F38E8F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本</w:t>
      </w:r>
      <w:r>
        <w:rPr>
          <w:rFonts w:hint="eastAsia" w:ascii="宋体" w:hAnsi="宋体" w:eastAsia="宋体" w:cs="宋体"/>
          <w:color w:val="auto"/>
          <w:sz w:val="24"/>
          <w:lang w:val="en-US" w:eastAsia="zh-CN"/>
        </w:rPr>
        <w:t>项目</w:t>
      </w:r>
      <w:r>
        <w:rPr>
          <w:rFonts w:hint="eastAsia" w:ascii="宋体" w:hAnsi="宋体" w:eastAsia="宋体" w:cs="宋体"/>
          <w:color w:val="auto"/>
          <w:sz w:val="24"/>
        </w:rPr>
        <w:t>采用</w:t>
      </w:r>
      <w:r>
        <w:rPr>
          <w:rFonts w:hint="eastAsia" w:ascii="宋体" w:hAnsi="宋体" w:eastAsia="宋体" w:cs="宋体"/>
          <w:color w:val="auto"/>
          <w:sz w:val="24"/>
          <w:lang w:val="en-US" w:eastAsia="zh-CN"/>
        </w:rPr>
        <w:t>综合</w:t>
      </w:r>
      <w:r>
        <w:rPr>
          <w:rFonts w:hint="eastAsia" w:ascii="宋体" w:hAnsi="宋体" w:eastAsia="宋体" w:cs="宋体"/>
          <w:color w:val="auto"/>
          <w:sz w:val="24"/>
        </w:rPr>
        <w:t>评分法评</w:t>
      </w:r>
      <w:r>
        <w:rPr>
          <w:rFonts w:hint="eastAsia" w:ascii="宋体" w:hAnsi="宋体" w:eastAsia="宋体" w:cs="宋体"/>
          <w:bCs/>
          <w:color w:val="auto"/>
          <w:sz w:val="24"/>
        </w:rPr>
        <w:t>标</w:t>
      </w:r>
      <w:r>
        <w:rPr>
          <w:rFonts w:hint="eastAsia" w:ascii="宋体" w:hAnsi="宋体" w:eastAsia="宋体" w:cs="宋体"/>
          <w:color w:val="auto"/>
          <w:sz w:val="24"/>
        </w:rPr>
        <w:t>。</w:t>
      </w:r>
      <w:r>
        <w:rPr>
          <w:rFonts w:hint="eastAsia" w:ascii="宋体" w:hAnsi="宋体" w:eastAsia="宋体" w:cs="宋体"/>
          <w:bCs/>
          <w:color w:val="auto"/>
          <w:sz w:val="24"/>
        </w:rPr>
        <w:t>评标定标工作由招标人组织的评标小组</w:t>
      </w:r>
      <w:r>
        <w:rPr>
          <w:rFonts w:hint="eastAsia" w:ascii="宋体" w:hAnsi="宋体" w:eastAsia="宋体" w:cs="宋体"/>
          <w:bCs/>
          <w:color w:val="auto"/>
          <w:sz w:val="24"/>
          <w:lang w:val="en-US" w:eastAsia="zh-CN"/>
        </w:rPr>
        <w:t>成员</w:t>
      </w:r>
      <w:r>
        <w:rPr>
          <w:rFonts w:hint="eastAsia" w:ascii="宋体" w:hAnsi="宋体" w:eastAsia="宋体" w:cs="宋体"/>
          <w:bCs/>
          <w:color w:val="auto"/>
          <w:sz w:val="24"/>
        </w:rPr>
        <w:t>进行</w:t>
      </w:r>
      <w:r>
        <w:rPr>
          <w:rFonts w:hint="eastAsia" w:ascii="宋体" w:hAnsi="宋体" w:eastAsia="宋体" w:cs="宋体"/>
          <w:color w:val="auto"/>
          <w:sz w:val="24"/>
        </w:rPr>
        <w:t>。在比较报价的同时，还将考虑以下因素：</w:t>
      </w:r>
    </w:p>
    <w:p w14:paraId="563817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(1)</w:t>
      </w:r>
      <w:r>
        <w:rPr>
          <w:rFonts w:hint="eastAsia" w:ascii="宋体" w:hAnsi="宋体" w:eastAsia="宋体" w:cs="宋体"/>
          <w:color w:val="auto"/>
          <w:sz w:val="24"/>
        </w:rPr>
        <w:t>设计方案先进、合理、可靠。</w:t>
      </w:r>
    </w:p>
    <w:p w14:paraId="5177E24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(2)</w:t>
      </w:r>
      <w:r>
        <w:rPr>
          <w:rFonts w:hint="eastAsia" w:ascii="宋体" w:hAnsi="宋体" w:eastAsia="宋体" w:cs="宋体"/>
          <w:color w:val="auto"/>
          <w:sz w:val="24"/>
        </w:rPr>
        <w:t>产品的性能、互换性及标准。</w:t>
      </w:r>
    </w:p>
    <w:p w14:paraId="1246B5B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(3)</w:t>
      </w:r>
      <w:r>
        <w:rPr>
          <w:rFonts w:hint="eastAsia" w:ascii="宋体" w:hAnsi="宋体" w:eastAsia="宋体" w:cs="宋体"/>
          <w:color w:val="auto"/>
          <w:sz w:val="24"/>
        </w:rPr>
        <w:t>付款条件的偏差。</w:t>
      </w:r>
    </w:p>
    <w:p w14:paraId="16E0549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产品的寿命、经营成本。</w:t>
      </w:r>
    </w:p>
    <w:p w14:paraId="54D7720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(5)</w:t>
      </w:r>
      <w:r>
        <w:rPr>
          <w:rFonts w:hint="eastAsia" w:ascii="宋体" w:hAnsi="宋体" w:eastAsia="宋体" w:cs="宋体"/>
          <w:color w:val="auto"/>
          <w:sz w:val="24"/>
        </w:rPr>
        <w:t>交货时间、安装竣工时间。</w:t>
      </w:r>
    </w:p>
    <w:p w14:paraId="29260FD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(6)</w:t>
      </w:r>
      <w:r>
        <w:rPr>
          <w:rFonts w:hint="eastAsia" w:ascii="宋体" w:hAnsi="宋体" w:eastAsia="宋体" w:cs="宋体"/>
          <w:color w:val="auto"/>
          <w:sz w:val="24"/>
        </w:rPr>
        <w:t>售后服务、备件供应。</w:t>
      </w:r>
    </w:p>
    <w:p w14:paraId="3604F34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(7)</w:t>
      </w:r>
      <w:r>
        <w:rPr>
          <w:rFonts w:hint="eastAsia" w:ascii="宋体" w:hAnsi="宋体" w:eastAsia="宋体" w:cs="宋体"/>
          <w:color w:val="auto"/>
          <w:sz w:val="24"/>
        </w:rPr>
        <w:t>运输条件。</w:t>
      </w:r>
    </w:p>
    <w:p w14:paraId="51DD42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(8)</w:t>
      </w:r>
      <w:r>
        <w:rPr>
          <w:rFonts w:hint="eastAsia" w:ascii="宋体" w:hAnsi="宋体" w:eastAsia="宋体" w:cs="宋体"/>
          <w:color w:val="auto"/>
          <w:sz w:val="24"/>
        </w:rPr>
        <w:t>经营信誉。</w:t>
      </w:r>
    </w:p>
    <w:p w14:paraId="504F65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评标委员会根据上述原则综合打分优选方案，并与委托方依据确定的定标程序选出中标方。最低价不是中标的唯一标准</w:t>
      </w:r>
    </w:p>
    <w:p w14:paraId="1864C9D7">
      <w:pPr>
        <w:pStyle w:val="13"/>
        <w:keepNext w:val="0"/>
        <w:keepLines w:val="0"/>
        <w:pageBreakBefore w:val="0"/>
        <w:kinsoku/>
        <w:wordWrap/>
        <w:overflowPunct/>
        <w:topLinePunct w:val="0"/>
        <w:autoSpaceDE/>
        <w:autoSpaceDN/>
        <w:bidi w:val="0"/>
        <w:adjustRightInd/>
        <w:snapToGrid/>
        <w:spacing w:after="0" w:line="360" w:lineRule="auto"/>
        <w:ind w:left="0" w:leftChars="0" w:firstLine="482" w:firstLineChars="200"/>
        <w:textAlignment w:val="auto"/>
        <w:outlineLvl w:val="1"/>
        <w:rPr>
          <w:rFonts w:hint="eastAsia" w:ascii="宋体" w:hAnsi="宋体" w:eastAsia="宋体" w:cs="宋体"/>
          <w:b/>
          <w:bCs/>
          <w:color w:val="auto"/>
          <w:sz w:val="24"/>
        </w:rPr>
      </w:pPr>
      <w:bookmarkStart w:id="118" w:name="_Toc26451"/>
      <w:r>
        <w:rPr>
          <w:rFonts w:hint="eastAsia" w:ascii="宋体" w:hAnsi="宋体" w:eastAsia="宋体" w:cs="宋体"/>
          <w:b/>
          <w:bCs/>
          <w:color w:val="auto"/>
          <w:sz w:val="24"/>
          <w:lang w:val="en-US" w:eastAsia="zh-CN"/>
        </w:rPr>
        <w:t>3</w:t>
      </w:r>
      <w:r>
        <w:rPr>
          <w:rFonts w:hint="eastAsia" w:ascii="宋体" w:hAnsi="宋体" w:eastAsia="宋体" w:cs="宋体"/>
          <w:b/>
          <w:bCs/>
          <w:color w:val="auto"/>
          <w:sz w:val="24"/>
        </w:rPr>
        <w:t>.评审内容</w:t>
      </w:r>
      <w:bookmarkEnd w:id="118"/>
    </w:p>
    <w:p w14:paraId="593DFA9D">
      <w:pPr>
        <w:pStyle w:val="13"/>
        <w:keepNext w:val="0"/>
        <w:keepLines w:val="0"/>
        <w:pageBreakBefore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3</w:t>
      </w:r>
      <w:r>
        <w:rPr>
          <w:rFonts w:hint="eastAsia" w:ascii="宋体" w:hAnsi="宋体" w:eastAsia="宋体" w:cs="宋体"/>
          <w:color w:val="auto"/>
          <w:sz w:val="24"/>
        </w:rPr>
        <w:t>.1</w:t>
      </w:r>
      <w:r>
        <w:rPr>
          <w:rFonts w:hint="eastAsia" w:ascii="宋体" w:hAnsi="宋体" w:eastAsia="宋体" w:cs="宋体"/>
          <w:color w:val="auto"/>
          <w:sz w:val="24"/>
          <w:lang w:val="en-US" w:eastAsia="zh-CN"/>
        </w:rPr>
        <w:t>技术评审</w:t>
      </w:r>
      <w:r>
        <w:rPr>
          <w:rFonts w:hint="eastAsia" w:ascii="宋体" w:hAnsi="宋体" w:eastAsia="宋体" w:cs="宋体"/>
          <w:color w:val="auto"/>
          <w:sz w:val="24"/>
        </w:rPr>
        <w:t>；</w:t>
      </w:r>
    </w:p>
    <w:p w14:paraId="423420FD">
      <w:pPr>
        <w:pStyle w:val="13"/>
        <w:keepNext w:val="0"/>
        <w:keepLines w:val="0"/>
        <w:pageBreakBefore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3</w:t>
      </w:r>
      <w:r>
        <w:rPr>
          <w:rFonts w:hint="eastAsia" w:ascii="宋体" w:hAnsi="宋体" w:eastAsia="宋体" w:cs="宋体"/>
          <w:color w:val="auto"/>
          <w:sz w:val="24"/>
        </w:rPr>
        <w:t>.2投标报价；</w:t>
      </w:r>
    </w:p>
    <w:p w14:paraId="667B336C">
      <w:pPr>
        <w:keepNext w:val="0"/>
        <w:keepLines w:val="0"/>
        <w:pageBreakBefore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cs="宋体"/>
          <w:b/>
          <w:bCs/>
          <w:color w:val="auto"/>
          <w:sz w:val="24"/>
        </w:rPr>
      </w:pPr>
      <w:bookmarkStart w:id="119" w:name="_Toc4385"/>
      <w:r>
        <w:rPr>
          <w:rFonts w:hint="eastAsia" w:ascii="宋体" w:hAnsi="宋体" w:eastAsia="宋体" w:cs="宋体"/>
          <w:b/>
          <w:bCs/>
          <w:color w:val="auto"/>
          <w:sz w:val="24"/>
          <w:lang w:val="en-US" w:eastAsia="zh-CN"/>
        </w:rPr>
        <w:t>4</w:t>
      </w:r>
      <w:r>
        <w:rPr>
          <w:rFonts w:hint="eastAsia" w:ascii="宋体" w:hAnsi="宋体" w:eastAsia="宋体" w:cs="宋体"/>
          <w:b/>
          <w:bCs/>
          <w:color w:val="auto"/>
          <w:sz w:val="24"/>
        </w:rPr>
        <w:t>.评审程序</w:t>
      </w:r>
      <w:bookmarkEnd w:id="119"/>
    </w:p>
    <w:p w14:paraId="30E0DE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.1评标小组评委按招标文件要求对各投标人的投标文件进行符合性评审（包括资格审查），确认其投标文件是否实质上响应招标文件的要求，对实质上响应招标文件要求的投标文件进入下一步评审。</w:t>
      </w:r>
      <w:r>
        <w:rPr>
          <w:rFonts w:hint="eastAsia" w:ascii="宋体" w:hAnsi="宋体" w:eastAsia="宋体" w:cs="宋体"/>
          <w:bCs/>
          <w:color w:val="auto"/>
          <w:sz w:val="24"/>
        </w:rPr>
        <w:t>凡不符合投标资质条件、专业条件要求、投标要求和未实质性响应招标文件要求的投标以及未按招标文件要求的投标格式进行投标的均为废标，不进入评分程序。</w:t>
      </w:r>
    </w:p>
    <w:p w14:paraId="22B0A5F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.2评标小组评委根据招标文件所确定的评标办法对通过符合性评审的投标人进行投标及</w:t>
      </w:r>
      <w:r>
        <w:rPr>
          <w:rFonts w:hint="eastAsia" w:ascii="宋体" w:hAnsi="宋体" w:eastAsia="宋体" w:cs="宋体"/>
          <w:color w:val="auto"/>
          <w:sz w:val="24"/>
          <w:lang w:val="en-US" w:eastAsia="zh-CN"/>
        </w:rPr>
        <w:t>技术</w:t>
      </w:r>
      <w:r>
        <w:rPr>
          <w:rFonts w:hint="eastAsia" w:ascii="宋体" w:hAnsi="宋体" w:eastAsia="宋体" w:cs="宋体"/>
          <w:color w:val="auto"/>
          <w:sz w:val="24"/>
        </w:rPr>
        <w:t>、</w:t>
      </w:r>
      <w:r>
        <w:rPr>
          <w:rFonts w:hint="eastAsia" w:ascii="宋体" w:hAnsi="宋体" w:eastAsia="宋体" w:cs="宋体"/>
          <w:color w:val="auto"/>
          <w:sz w:val="24"/>
          <w:lang w:val="en-US" w:eastAsia="zh-CN"/>
        </w:rPr>
        <w:t>价格</w:t>
      </w:r>
      <w:r>
        <w:rPr>
          <w:rFonts w:hint="eastAsia" w:ascii="宋体" w:hAnsi="宋体" w:eastAsia="宋体" w:cs="宋体"/>
          <w:color w:val="auto"/>
          <w:sz w:val="24"/>
        </w:rPr>
        <w:t>因素评分。</w:t>
      </w:r>
    </w:p>
    <w:p w14:paraId="1E02B4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.3汇总评标小组评委各项评分，统计结果。</w:t>
      </w:r>
    </w:p>
    <w:p w14:paraId="63FEF71E">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宋体" w:hAnsi="宋体" w:eastAsia="宋体" w:cs="宋体"/>
          <w:color w:val="auto"/>
          <w:sz w:val="24"/>
        </w:rPr>
      </w:pPr>
      <w:bookmarkStart w:id="120" w:name="_Toc10838"/>
      <w:r>
        <w:rPr>
          <w:rFonts w:hint="eastAsia" w:ascii="宋体" w:hAnsi="宋体" w:eastAsia="宋体" w:cs="宋体"/>
          <w:b/>
          <w:bCs/>
          <w:color w:val="auto"/>
          <w:sz w:val="24"/>
          <w:lang w:val="en-US" w:eastAsia="zh-CN"/>
        </w:rPr>
        <w:t>5</w:t>
      </w:r>
      <w:r>
        <w:rPr>
          <w:rFonts w:hint="eastAsia" w:ascii="宋体" w:hAnsi="宋体" w:eastAsia="宋体" w:cs="宋体"/>
          <w:b/>
          <w:bCs/>
          <w:color w:val="auto"/>
          <w:sz w:val="24"/>
        </w:rPr>
        <w:t>.其他方面要求</w:t>
      </w:r>
      <w:bookmarkEnd w:id="120"/>
    </w:p>
    <w:p w14:paraId="352D787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本工程招标文件未尽事宜，按照《中华人民共和国招标投标法》、《福建省招标投标管理办法》等有关法规、规定执行。</w:t>
      </w:r>
    </w:p>
    <w:p w14:paraId="6AEBC94A">
      <w:pPr>
        <w:keepNext w:val="0"/>
        <w:keepLines w:val="0"/>
        <w:pageBreakBefore w:val="0"/>
        <w:kinsoku/>
        <w:wordWrap/>
        <w:overflowPunct/>
        <w:topLinePunct w:val="0"/>
        <w:autoSpaceDE/>
        <w:autoSpaceDN/>
        <w:bidi w:val="0"/>
        <w:adjustRightInd/>
        <w:snapToGrid/>
        <w:spacing w:line="360" w:lineRule="auto"/>
        <w:ind w:firstLine="472" w:firstLineChars="196"/>
        <w:textAlignment w:val="auto"/>
        <w:outlineLvl w:val="1"/>
        <w:rPr>
          <w:rFonts w:hint="eastAsia" w:ascii="宋体" w:hAnsi="宋体" w:eastAsia="宋体" w:cs="宋体"/>
          <w:b/>
          <w:color w:val="auto"/>
          <w:sz w:val="24"/>
          <w:highlight w:val="none"/>
        </w:rPr>
      </w:pPr>
      <w:bookmarkStart w:id="121" w:name="_Toc13574"/>
      <w:r>
        <w:rPr>
          <w:rFonts w:hint="eastAsia" w:ascii="宋体" w:hAnsi="宋体" w:eastAsia="宋体" w:cs="宋体"/>
          <w:b/>
          <w:color w:val="auto"/>
          <w:sz w:val="24"/>
          <w:lang w:val="en-US" w:eastAsia="zh-CN"/>
        </w:rPr>
        <w:t>6</w:t>
      </w:r>
      <w:r>
        <w:rPr>
          <w:rFonts w:hint="eastAsia" w:ascii="宋体" w:hAnsi="宋体" w:eastAsia="宋体" w:cs="宋体"/>
          <w:b/>
          <w:color w:val="auto"/>
          <w:sz w:val="24"/>
        </w:rPr>
        <w:t>.评审标准</w:t>
      </w:r>
      <w:bookmarkEnd w:id="121"/>
    </w:p>
    <w:p w14:paraId="21B215B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评分标准的总分为100分，其分值由</w:t>
      </w:r>
      <w:r>
        <w:rPr>
          <w:rFonts w:hint="eastAsia" w:ascii="宋体" w:hAnsi="宋体" w:eastAsia="宋体" w:cs="宋体"/>
          <w:color w:val="auto"/>
          <w:sz w:val="24"/>
          <w:highlight w:val="none"/>
          <w:lang w:val="en-US" w:eastAsia="zh-CN"/>
        </w:rPr>
        <w:t>技术</w:t>
      </w:r>
      <w:r>
        <w:rPr>
          <w:rFonts w:hint="eastAsia" w:ascii="宋体" w:hAnsi="宋体" w:eastAsia="宋体" w:cs="宋体"/>
          <w:color w:val="auto"/>
          <w:sz w:val="24"/>
          <w:highlight w:val="none"/>
        </w:rPr>
        <w:t>部分（</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0分）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报价</w:t>
      </w:r>
      <w:r>
        <w:rPr>
          <w:rFonts w:hint="eastAsia" w:ascii="宋体" w:hAnsi="宋体" w:eastAsia="宋体" w:cs="宋体"/>
          <w:color w:val="auto"/>
          <w:sz w:val="24"/>
          <w:highlight w:val="none"/>
        </w:rPr>
        <w:t>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70</w:t>
      </w:r>
      <w:r>
        <w:rPr>
          <w:rFonts w:hint="eastAsia" w:ascii="宋体" w:hAnsi="宋体" w:eastAsia="宋体" w:cs="宋体"/>
          <w:color w:val="auto"/>
          <w:sz w:val="24"/>
          <w:highlight w:val="none"/>
        </w:rPr>
        <w:t>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综合部分（20分）</w:t>
      </w:r>
      <w:r>
        <w:rPr>
          <w:rFonts w:hint="eastAsia" w:ascii="宋体" w:hAnsi="宋体" w:eastAsia="宋体" w:cs="宋体"/>
          <w:color w:val="auto"/>
          <w:sz w:val="24"/>
          <w:highlight w:val="none"/>
        </w:rPr>
        <w:t>组成，评审标准具体如下：</w:t>
      </w:r>
    </w:p>
    <w:p w14:paraId="7BD37EAD">
      <w:pPr>
        <w:ind w:firstLine="458" w:firstLineChars="200"/>
        <w:rPr>
          <w:rFonts w:hint="eastAsia" w:ascii="宋体" w:hAnsi="宋体" w:eastAsia="宋体" w:cs="宋体"/>
          <w:b/>
          <w:bCs/>
          <w:color w:val="auto"/>
          <w:spacing w:val="-6"/>
          <w:sz w:val="24"/>
          <w:highlight w:val="none"/>
          <w:lang w:eastAsia="zh-CN"/>
        </w:rPr>
      </w:pPr>
    </w:p>
    <w:p w14:paraId="05BEEFFD">
      <w:pPr>
        <w:spacing w:before="240" w:beforeLines="100" w:after="120" w:afterLines="50" w:line="360" w:lineRule="auto"/>
        <w:jc w:val="center"/>
        <w:outlineLvl w:val="0"/>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bookmarkStart w:id="122" w:name="_Toc10936"/>
      <w:bookmarkStart w:id="123" w:name="_Toc13537"/>
      <w:bookmarkStart w:id="124" w:name="_Toc23296"/>
      <w:bookmarkStart w:id="125" w:name="_Toc894"/>
      <w:r>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t>五、综合评标评分标准</w:t>
      </w:r>
      <w:bookmarkEnd w:id="122"/>
      <w:bookmarkEnd w:id="123"/>
      <w:bookmarkEnd w:id="124"/>
      <w:bookmarkEnd w:id="125"/>
    </w:p>
    <w:p w14:paraId="444A922C">
      <w:pPr>
        <w:widowControl w:val="0"/>
        <w:kinsoku/>
        <w:autoSpaceDE/>
        <w:autoSpaceDN/>
        <w:adjustRightInd/>
        <w:snapToGrid/>
        <w:spacing w:before="120" w:beforeLines="50" w:line="360" w:lineRule="auto"/>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1、技术部分（分值</w:t>
      </w:r>
      <w:r>
        <w:rPr>
          <w:rFonts w:hint="eastAsia" w:ascii="宋体" w:hAnsi="宋体" w:eastAsia="宋体" w:cs="宋体"/>
          <w:b/>
          <w:bCs/>
          <w:sz w:val="24"/>
          <w:lang w:val="en-US" w:eastAsia="zh-CN"/>
        </w:rPr>
        <w:t>10</w:t>
      </w:r>
      <w:r>
        <w:rPr>
          <w:rFonts w:hint="eastAsia" w:ascii="宋体" w:hAnsi="宋体" w:eastAsia="宋体" w:cs="宋体"/>
          <w:b/>
          <w:bCs/>
          <w:sz w:val="24"/>
        </w:rPr>
        <w:t>分）</w:t>
      </w:r>
    </w:p>
    <w:tbl>
      <w:tblPr>
        <w:tblStyle w:val="19"/>
        <w:tblW w:w="9180"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3" w:type="dxa"/>
          <w:bottom w:w="0" w:type="dxa"/>
          <w:right w:w="108" w:type="dxa"/>
        </w:tblCellMar>
      </w:tblPr>
      <w:tblGrid>
        <w:gridCol w:w="710"/>
        <w:gridCol w:w="1180"/>
        <w:gridCol w:w="860"/>
        <w:gridCol w:w="5296"/>
        <w:gridCol w:w="1134"/>
      </w:tblGrid>
      <w:tr w14:paraId="523C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3" w:type="dxa"/>
            <w:bottom w:w="0" w:type="dxa"/>
            <w:right w:w="108" w:type="dxa"/>
          </w:tblCellMar>
        </w:tblPrEx>
        <w:trPr>
          <w:trHeight w:val="587" w:hRule="atLeast"/>
        </w:trPr>
        <w:tc>
          <w:tcPr>
            <w:tcW w:w="710" w:type="dxa"/>
            <w:tcMar>
              <w:left w:w="103" w:type="dxa"/>
            </w:tcMar>
            <w:vAlign w:val="center"/>
          </w:tcPr>
          <w:p w14:paraId="356BA0B2">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1180" w:type="dxa"/>
            <w:tcMar>
              <w:left w:w="103" w:type="dxa"/>
            </w:tcMar>
            <w:vAlign w:val="center"/>
          </w:tcPr>
          <w:p w14:paraId="7D5D4AC6">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类别</w:t>
            </w:r>
          </w:p>
        </w:tc>
        <w:tc>
          <w:tcPr>
            <w:tcW w:w="860" w:type="dxa"/>
            <w:tcMar>
              <w:left w:w="103" w:type="dxa"/>
            </w:tcMar>
            <w:vAlign w:val="center"/>
          </w:tcPr>
          <w:p w14:paraId="02EF46A8">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满分</w:t>
            </w:r>
          </w:p>
        </w:tc>
        <w:tc>
          <w:tcPr>
            <w:tcW w:w="5296" w:type="dxa"/>
            <w:tcMar>
              <w:left w:w="103" w:type="dxa"/>
            </w:tcMar>
            <w:vAlign w:val="center"/>
          </w:tcPr>
          <w:p w14:paraId="0E0095D6">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评审内容</w:t>
            </w:r>
          </w:p>
        </w:tc>
        <w:tc>
          <w:tcPr>
            <w:tcW w:w="1134" w:type="dxa"/>
            <w:tcMar>
              <w:left w:w="103" w:type="dxa"/>
            </w:tcMar>
            <w:vAlign w:val="center"/>
          </w:tcPr>
          <w:p w14:paraId="17C378FA">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实得分</w:t>
            </w:r>
          </w:p>
        </w:tc>
      </w:tr>
      <w:tr w14:paraId="6AA1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3" w:type="dxa"/>
            <w:bottom w:w="0" w:type="dxa"/>
            <w:right w:w="108" w:type="dxa"/>
          </w:tblCellMar>
        </w:tblPrEx>
        <w:trPr>
          <w:trHeight w:val="510" w:hRule="atLeast"/>
        </w:trPr>
        <w:tc>
          <w:tcPr>
            <w:tcW w:w="710" w:type="dxa"/>
            <w:tcMar>
              <w:left w:w="103" w:type="dxa"/>
            </w:tcMar>
            <w:vAlign w:val="center"/>
          </w:tcPr>
          <w:p w14:paraId="7DE69451">
            <w:pPr>
              <w:widowControl w:val="0"/>
              <w:kinsoku/>
              <w:autoSpaceDE/>
              <w:autoSpaceDN/>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180" w:type="dxa"/>
            <w:tcMar>
              <w:left w:w="103" w:type="dxa"/>
            </w:tcMar>
            <w:vAlign w:val="center"/>
          </w:tcPr>
          <w:p w14:paraId="3B199278">
            <w:pPr>
              <w:pStyle w:val="6"/>
              <w:widowControl w:val="0"/>
              <w:kinsoku/>
              <w:autoSpaceDE/>
              <w:autoSpaceDN/>
              <w:spacing w:line="360" w:lineRule="auto"/>
              <w:jc w:val="center"/>
              <w:textAlignment w:val="auto"/>
              <w:rPr>
                <w:rFonts w:hint="eastAsia" w:ascii="宋体" w:hAnsi="宋体" w:eastAsia="宋体" w:cs="宋体"/>
                <w:color w:val="auto"/>
                <w:szCs w:val="24"/>
                <w:lang w:val="en-US"/>
              </w:rPr>
            </w:pPr>
            <w:r>
              <w:rPr>
                <w:rFonts w:hint="eastAsia" w:ascii="宋体" w:hAnsi="宋体" w:eastAsia="宋体" w:cs="宋体"/>
                <w:color w:val="auto"/>
                <w:szCs w:val="24"/>
                <w:lang w:val="en-US"/>
              </w:rPr>
              <w:t>技术要求</w:t>
            </w:r>
          </w:p>
        </w:tc>
        <w:tc>
          <w:tcPr>
            <w:tcW w:w="860" w:type="dxa"/>
            <w:tcMar>
              <w:left w:w="103" w:type="dxa"/>
            </w:tcMar>
            <w:vAlign w:val="center"/>
          </w:tcPr>
          <w:p w14:paraId="50EA110B">
            <w:pPr>
              <w:widowControl w:val="0"/>
              <w:kinsoku/>
              <w:autoSpaceDE/>
              <w:autoSpaceDN/>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分</w:t>
            </w:r>
          </w:p>
        </w:tc>
        <w:tc>
          <w:tcPr>
            <w:tcW w:w="5296" w:type="dxa"/>
            <w:tcMar>
              <w:left w:w="103" w:type="dxa"/>
            </w:tcMar>
            <w:vAlign w:val="center"/>
          </w:tcPr>
          <w:p w14:paraId="2165BE5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highlight w:val="none"/>
                <w:lang w:val="en-US" w:eastAsia="zh-CN"/>
              </w:rPr>
              <w:t>性能参数：一项不响应扣1-2分。</w:t>
            </w:r>
          </w:p>
        </w:tc>
        <w:tc>
          <w:tcPr>
            <w:tcW w:w="1134" w:type="dxa"/>
            <w:tcMar>
              <w:left w:w="103" w:type="dxa"/>
            </w:tcMar>
            <w:vAlign w:val="center"/>
          </w:tcPr>
          <w:p w14:paraId="0DC3255B">
            <w:pPr>
              <w:widowControl w:val="0"/>
              <w:kinsoku/>
              <w:autoSpaceDE/>
              <w:autoSpaceDN/>
              <w:spacing w:line="360" w:lineRule="auto"/>
              <w:jc w:val="center"/>
              <w:textAlignment w:val="auto"/>
              <w:rPr>
                <w:rFonts w:hint="eastAsia" w:ascii="宋体" w:hAnsi="宋体" w:eastAsia="宋体" w:cs="宋体"/>
                <w:color w:val="auto"/>
                <w:sz w:val="24"/>
                <w:szCs w:val="24"/>
              </w:rPr>
            </w:pPr>
          </w:p>
        </w:tc>
      </w:tr>
    </w:tbl>
    <w:p w14:paraId="13BDFE94">
      <w:pPr>
        <w:spacing w:line="360" w:lineRule="auto"/>
        <w:jc w:val="both"/>
        <w:rPr>
          <w:rFonts w:hint="eastAsia" w:ascii="宋体" w:hAnsi="宋体" w:eastAsia="宋体" w:cs="宋体"/>
          <w:b/>
          <w:bCs/>
          <w:sz w:val="24"/>
        </w:rPr>
      </w:pPr>
    </w:p>
    <w:p w14:paraId="4DF59E1C">
      <w:pPr>
        <w:keepNext w:val="0"/>
        <w:keepLines w:val="0"/>
        <w:pageBreakBefore w:val="0"/>
        <w:wordWrap/>
        <w:overflowPunct/>
        <w:bidi w:val="0"/>
        <w:spacing w:line="300" w:lineRule="auto"/>
        <w:ind w:left="0" w:leftChars="0" w:right="0" w:firstLine="482" w:firstLineChars="200"/>
        <w:jc w:val="both"/>
        <w:rPr>
          <w:rFonts w:hint="eastAsia" w:ascii="宋体" w:hAnsi="宋体" w:eastAsia="宋体" w:cs="宋体"/>
          <w:b/>
          <w:bCs/>
          <w:color w:val="auto"/>
          <w:sz w:val="24"/>
        </w:rPr>
      </w:pPr>
      <w:r>
        <w:rPr>
          <w:rFonts w:hint="eastAsia" w:ascii="宋体" w:hAnsi="宋体" w:eastAsia="宋体" w:cs="宋体"/>
          <w:b/>
          <w:bCs/>
          <w:color w:val="auto"/>
          <w:sz w:val="24"/>
          <w:lang w:val="en-US" w:eastAsia="zh-CN"/>
        </w:rPr>
        <w:t>2</w:t>
      </w:r>
      <w:r>
        <w:rPr>
          <w:rFonts w:hint="eastAsia" w:ascii="宋体" w:hAnsi="宋体" w:eastAsia="宋体" w:cs="宋体"/>
          <w:b/>
          <w:bCs/>
          <w:color w:val="auto"/>
          <w:sz w:val="24"/>
        </w:rPr>
        <w:t>、价格部分（分值</w:t>
      </w:r>
      <w:r>
        <w:rPr>
          <w:rFonts w:hint="eastAsia" w:ascii="宋体" w:hAnsi="宋体" w:eastAsia="宋体" w:cs="宋体"/>
          <w:b/>
          <w:bCs/>
          <w:color w:val="auto"/>
          <w:sz w:val="24"/>
          <w:lang w:val="en-US" w:eastAsia="zh-CN"/>
        </w:rPr>
        <w:t>70</w:t>
      </w:r>
      <w:r>
        <w:rPr>
          <w:rFonts w:hint="eastAsia" w:ascii="宋体" w:hAnsi="宋体" w:eastAsia="宋体" w:cs="宋体"/>
          <w:b/>
          <w:bCs/>
          <w:color w:val="auto"/>
          <w:sz w:val="24"/>
        </w:rPr>
        <w:t>分）</w:t>
      </w:r>
    </w:p>
    <w:tbl>
      <w:tblPr>
        <w:tblStyle w:val="19"/>
        <w:tblW w:w="9190" w:type="dxa"/>
        <w:tblInd w:w="127" w:type="dxa"/>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Layout w:type="fixed"/>
        <w:tblCellMar>
          <w:top w:w="0" w:type="dxa"/>
          <w:left w:w="103" w:type="dxa"/>
          <w:bottom w:w="0" w:type="dxa"/>
          <w:right w:w="108" w:type="dxa"/>
        </w:tblCellMar>
      </w:tblPr>
      <w:tblGrid>
        <w:gridCol w:w="740"/>
        <w:gridCol w:w="1160"/>
        <w:gridCol w:w="800"/>
        <w:gridCol w:w="5356"/>
        <w:gridCol w:w="1134"/>
      </w:tblGrid>
      <w:tr w14:paraId="4CEBDD2C">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3"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tcBorders>
            <w:tcMar>
              <w:left w:w="103" w:type="dxa"/>
            </w:tcMar>
            <w:vAlign w:val="center"/>
          </w:tcPr>
          <w:p w14:paraId="51319AC7">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1160" w:type="dxa"/>
            <w:tcBorders>
              <w:top w:val="single" w:color="000000" w:sz="4" w:space="0"/>
              <w:left w:val="single" w:color="000000" w:sz="4" w:space="0"/>
              <w:bottom w:val="single" w:color="000000" w:sz="4" w:space="0"/>
            </w:tcBorders>
            <w:tcMar>
              <w:left w:w="103" w:type="dxa"/>
            </w:tcMar>
            <w:vAlign w:val="center"/>
          </w:tcPr>
          <w:p w14:paraId="55883F53">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类别</w:t>
            </w:r>
          </w:p>
        </w:tc>
        <w:tc>
          <w:tcPr>
            <w:tcW w:w="800" w:type="dxa"/>
            <w:tcBorders>
              <w:top w:val="single" w:color="000000" w:sz="4" w:space="0"/>
              <w:left w:val="single" w:color="000000" w:sz="4" w:space="0"/>
              <w:bottom w:val="single" w:color="000000" w:sz="4" w:space="0"/>
            </w:tcBorders>
            <w:tcMar>
              <w:left w:w="103" w:type="dxa"/>
            </w:tcMar>
            <w:vAlign w:val="center"/>
          </w:tcPr>
          <w:p w14:paraId="4578D949">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满分</w:t>
            </w:r>
          </w:p>
        </w:tc>
        <w:tc>
          <w:tcPr>
            <w:tcW w:w="5356" w:type="dxa"/>
            <w:tcBorders>
              <w:top w:val="single" w:color="000000" w:sz="4" w:space="0"/>
              <w:left w:val="single" w:color="000000" w:sz="4" w:space="0"/>
              <w:bottom w:val="single" w:color="000000" w:sz="4" w:space="0"/>
              <w:right w:val="single" w:color="000000" w:sz="4" w:space="0"/>
            </w:tcBorders>
            <w:tcMar>
              <w:left w:w="103" w:type="dxa"/>
            </w:tcMar>
            <w:vAlign w:val="center"/>
          </w:tcPr>
          <w:p w14:paraId="6FDC3B5F">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评审内容</w:t>
            </w:r>
          </w:p>
        </w:tc>
        <w:tc>
          <w:tcPr>
            <w:tcW w:w="1134" w:type="dxa"/>
            <w:tcBorders>
              <w:top w:val="single" w:color="000000" w:sz="4" w:space="0"/>
              <w:left w:val="single" w:color="000000" w:sz="4" w:space="0"/>
              <w:bottom w:val="single" w:color="000000" w:sz="4" w:space="0"/>
              <w:right w:val="single" w:color="000000" w:sz="4" w:space="0"/>
            </w:tcBorders>
            <w:tcMar>
              <w:left w:w="103" w:type="dxa"/>
            </w:tcMar>
            <w:vAlign w:val="center"/>
          </w:tcPr>
          <w:p w14:paraId="34948CD2">
            <w:pPr>
              <w:keepNext w:val="0"/>
              <w:keepLines w:val="0"/>
              <w:pageBreakBefore w:val="0"/>
              <w:wordWrap/>
              <w:overflowPunct/>
              <w:bidi w:val="0"/>
              <w:spacing w:line="300" w:lineRule="auto"/>
              <w:ind w:left="0" w:leftChars="0" w:right="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实得分</w:t>
            </w:r>
          </w:p>
        </w:tc>
      </w:tr>
      <w:tr w14:paraId="3A2B264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3" w:type="dxa"/>
            <w:bottom w:w="0" w:type="dxa"/>
            <w:right w:w="108" w:type="dxa"/>
          </w:tblCellMar>
        </w:tblPrEx>
        <w:trPr>
          <w:trHeight w:val="2319" w:hRule="atLeast"/>
        </w:trPr>
        <w:tc>
          <w:tcPr>
            <w:tcW w:w="740" w:type="dxa"/>
            <w:tcBorders>
              <w:top w:val="single" w:color="000000" w:sz="4" w:space="0"/>
              <w:left w:val="single" w:color="000000" w:sz="4" w:space="0"/>
              <w:bottom w:val="single" w:color="000000" w:sz="4" w:space="0"/>
            </w:tcBorders>
            <w:tcMar>
              <w:left w:w="103" w:type="dxa"/>
            </w:tcMar>
            <w:vAlign w:val="center"/>
          </w:tcPr>
          <w:p w14:paraId="7DF7C2B1">
            <w:pPr>
              <w:keepNext w:val="0"/>
              <w:keepLines w:val="0"/>
              <w:pageBreakBefore w:val="0"/>
              <w:wordWrap/>
              <w:overflowPunct/>
              <w:bidi w:val="0"/>
              <w:spacing w:line="300" w:lineRule="auto"/>
              <w:ind w:left="0" w:leftChars="0"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160" w:type="dxa"/>
            <w:tcBorders>
              <w:top w:val="single" w:color="000000" w:sz="4" w:space="0"/>
              <w:left w:val="single" w:color="000000" w:sz="4" w:space="0"/>
              <w:bottom w:val="single" w:color="000000" w:sz="4" w:space="0"/>
            </w:tcBorders>
            <w:tcMar>
              <w:left w:w="103" w:type="dxa"/>
            </w:tcMar>
            <w:vAlign w:val="center"/>
          </w:tcPr>
          <w:p w14:paraId="45F46038">
            <w:pPr>
              <w:keepNext w:val="0"/>
              <w:keepLines w:val="0"/>
              <w:pageBreakBefore w:val="0"/>
              <w:wordWrap/>
              <w:overflowPunct/>
              <w:bidi w:val="0"/>
              <w:spacing w:line="300" w:lineRule="auto"/>
              <w:ind w:left="0" w:leftChars="0"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投标分</w:t>
            </w:r>
          </w:p>
        </w:tc>
        <w:tc>
          <w:tcPr>
            <w:tcW w:w="800" w:type="dxa"/>
            <w:tcBorders>
              <w:top w:val="single" w:color="000000" w:sz="4" w:space="0"/>
              <w:left w:val="single" w:color="000000" w:sz="4" w:space="0"/>
              <w:bottom w:val="single" w:color="000000" w:sz="4" w:space="0"/>
            </w:tcBorders>
            <w:tcMar>
              <w:left w:w="103" w:type="dxa"/>
            </w:tcMar>
            <w:vAlign w:val="center"/>
          </w:tcPr>
          <w:p w14:paraId="483C33A9">
            <w:pPr>
              <w:keepNext w:val="0"/>
              <w:keepLines w:val="0"/>
              <w:pageBreakBefore w:val="0"/>
              <w:wordWrap/>
              <w:overflowPunct/>
              <w:bidi w:val="0"/>
              <w:spacing w:line="300" w:lineRule="auto"/>
              <w:ind w:left="0" w:leftChars="0" w:right="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70</w:t>
            </w:r>
            <w:r>
              <w:rPr>
                <w:rFonts w:hint="eastAsia" w:ascii="宋体" w:hAnsi="宋体" w:eastAsia="宋体" w:cs="宋体"/>
                <w:color w:val="auto"/>
                <w:sz w:val="24"/>
                <w:szCs w:val="24"/>
              </w:rPr>
              <w:t>分</w:t>
            </w:r>
          </w:p>
        </w:tc>
        <w:tc>
          <w:tcPr>
            <w:tcW w:w="5356" w:type="dxa"/>
            <w:tcBorders>
              <w:top w:val="single" w:color="000000" w:sz="4" w:space="0"/>
              <w:left w:val="single" w:color="000000" w:sz="4" w:space="0"/>
              <w:bottom w:val="single" w:color="000000" w:sz="4" w:space="0"/>
              <w:right w:val="single" w:color="000000" w:sz="4" w:space="0"/>
            </w:tcBorders>
            <w:tcMar>
              <w:left w:w="103" w:type="dxa"/>
            </w:tcMar>
            <w:vAlign w:val="center"/>
          </w:tcPr>
          <w:p w14:paraId="034C770E">
            <w:pPr>
              <w:keepNext w:val="0"/>
              <w:keepLines w:val="0"/>
              <w:pageBreakBefore w:val="0"/>
              <w:wordWrap/>
              <w:overflowPunct/>
              <w:bidi w:val="0"/>
              <w:spacing w:line="300" w:lineRule="auto"/>
              <w:ind w:left="0" w:leftChars="0" w:right="0"/>
              <w:rPr>
                <w:rFonts w:hint="eastAsia" w:ascii="宋体" w:hAnsi="宋体" w:eastAsia="宋体" w:cs="宋体"/>
                <w:color w:val="auto"/>
                <w:sz w:val="24"/>
              </w:rPr>
            </w:pPr>
            <w:r>
              <w:rPr>
                <w:rFonts w:hint="eastAsia" w:ascii="宋体" w:hAnsi="宋体" w:eastAsia="宋体" w:cs="宋体"/>
                <w:color w:val="auto"/>
                <w:sz w:val="24"/>
              </w:rPr>
              <w:t>价格分应当采用低价优先法计算，即满足招标文件要求且最后报价最低的价格为评标基准价，其价格分为满分。其他供应商的价格分统一按照下列公式计算：</w:t>
            </w:r>
          </w:p>
          <w:p w14:paraId="0008BABD">
            <w:pPr>
              <w:keepNext w:val="0"/>
              <w:keepLines w:val="0"/>
              <w:pageBreakBefore w:val="0"/>
              <w:wordWrap/>
              <w:overflowPunct/>
              <w:bidi w:val="0"/>
              <w:spacing w:line="300" w:lineRule="auto"/>
              <w:ind w:left="0" w:leftChars="0" w:right="0"/>
              <w:rPr>
                <w:rFonts w:hint="eastAsia" w:ascii="宋体" w:hAnsi="宋体" w:eastAsia="宋体" w:cs="宋体"/>
                <w:color w:val="auto"/>
                <w:sz w:val="24"/>
              </w:rPr>
            </w:pPr>
            <w:r>
              <w:rPr>
                <w:rFonts w:hint="eastAsia" w:ascii="宋体" w:hAnsi="宋体" w:eastAsia="宋体" w:cs="宋体"/>
                <w:color w:val="auto"/>
                <w:sz w:val="24"/>
              </w:rPr>
              <w:t>报价得分=（评标基准价/最后报价）×100×</w:t>
            </w:r>
            <w:r>
              <w:rPr>
                <w:rFonts w:hint="eastAsia" w:ascii="宋体" w:hAnsi="宋体" w:eastAsia="宋体" w:cs="宋体"/>
                <w:color w:val="auto"/>
                <w:sz w:val="24"/>
                <w:lang w:val="en-US" w:eastAsia="zh-CN"/>
              </w:rPr>
              <w:t>7</w:t>
            </w:r>
            <w:r>
              <w:rPr>
                <w:rFonts w:hint="eastAsia" w:ascii="宋体" w:hAnsi="宋体" w:eastAsia="宋体" w:cs="宋体"/>
                <w:color w:val="auto"/>
                <w:sz w:val="24"/>
              </w:rPr>
              <w:t>0%，评审过程中，不得去掉最后报价中的最高报价和最低报价。（保留到小数点后两位，第三位四舍五入。）</w:t>
            </w:r>
          </w:p>
          <w:p w14:paraId="226C6352">
            <w:pPr>
              <w:keepNext w:val="0"/>
              <w:keepLines w:val="0"/>
              <w:pageBreakBefore w:val="0"/>
              <w:wordWrap/>
              <w:overflowPunct/>
              <w:bidi w:val="0"/>
              <w:spacing w:line="300" w:lineRule="auto"/>
              <w:ind w:left="0" w:leftChars="0" w:right="0"/>
              <w:rPr>
                <w:rFonts w:hint="eastAsia" w:ascii="宋体" w:hAnsi="宋体" w:eastAsia="宋体" w:cs="宋体"/>
                <w:b/>
                <w:color w:val="auto"/>
                <w:sz w:val="24"/>
              </w:rPr>
            </w:pPr>
            <w:r>
              <w:rPr>
                <w:rFonts w:hint="eastAsia" w:ascii="宋体" w:hAnsi="宋体" w:eastAsia="宋体" w:cs="宋体"/>
                <w:color w:val="auto"/>
                <w:sz w:val="24"/>
              </w:rPr>
              <w:t>如报价出现异常，评标委员会由权要求相应投标人作出说明，如说明理由不合理或不说明理由，评标委员会有权将该投标人投标视为废标</w:t>
            </w:r>
          </w:p>
        </w:tc>
        <w:tc>
          <w:tcPr>
            <w:tcW w:w="1134" w:type="dxa"/>
            <w:tcBorders>
              <w:top w:val="single" w:color="000000" w:sz="4" w:space="0"/>
              <w:left w:val="single" w:color="000000" w:sz="4" w:space="0"/>
              <w:bottom w:val="single" w:color="000000" w:sz="4" w:space="0"/>
              <w:right w:val="single" w:color="000000" w:sz="4" w:space="0"/>
            </w:tcBorders>
            <w:tcMar>
              <w:left w:w="103" w:type="dxa"/>
            </w:tcMar>
            <w:vAlign w:val="center"/>
          </w:tcPr>
          <w:p w14:paraId="4F387151">
            <w:pPr>
              <w:keepNext w:val="0"/>
              <w:keepLines w:val="0"/>
              <w:pageBreakBefore w:val="0"/>
              <w:wordWrap/>
              <w:overflowPunct/>
              <w:bidi w:val="0"/>
              <w:spacing w:line="300" w:lineRule="auto"/>
              <w:ind w:left="0" w:leftChars="0" w:right="0"/>
              <w:rPr>
                <w:rFonts w:hint="eastAsia" w:ascii="宋体" w:hAnsi="宋体" w:eastAsia="宋体" w:cs="宋体"/>
                <w:color w:val="auto"/>
                <w:sz w:val="24"/>
                <w:szCs w:val="24"/>
              </w:rPr>
            </w:pPr>
          </w:p>
        </w:tc>
      </w:tr>
    </w:tbl>
    <w:p w14:paraId="669ED101">
      <w:pPr>
        <w:pStyle w:val="9"/>
        <w:keepNext w:val="0"/>
        <w:keepLines w:val="0"/>
        <w:pageBreakBefore w:val="0"/>
        <w:wordWrap/>
        <w:overflowPunct/>
        <w:bidi w:val="0"/>
        <w:spacing w:after="0" w:line="300" w:lineRule="auto"/>
        <w:ind w:left="0" w:leftChars="0" w:right="0" w:firstLine="0" w:firstLineChars="0"/>
        <w:rPr>
          <w:rFonts w:hint="eastAsia" w:ascii="宋体" w:hAnsi="宋体" w:eastAsia="宋体" w:cs="宋体"/>
          <w:color w:val="auto"/>
        </w:rPr>
      </w:pPr>
    </w:p>
    <w:p w14:paraId="1F150EAC">
      <w:pPr>
        <w:keepNext w:val="0"/>
        <w:keepLines w:val="0"/>
        <w:pageBreakBefore w:val="0"/>
        <w:numPr>
          <w:ilvl w:val="0"/>
          <w:numId w:val="9"/>
        </w:numPr>
        <w:wordWrap/>
        <w:overflowPunct/>
        <w:bidi w:val="0"/>
        <w:spacing w:line="300" w:lineRule="auto"/>
        <w:ind w:left="0" w:leftChars="0" w:right="0" w:firstLine="482" w:firstLineChars="200"/>
        <w:jc w:val="both"/>
        <w:rPr>
          <w:rFonts w:hint="eastAsia" w:ascii="宋体" w:hAnsi="宋体" w:eastAsia="宋体" w:cs="宋体"/>
          <w:b/>
          <w:bCs/>
          <w:color w:val="auto"/>
          <w:sz w:val="24"/>
        </w:rPr>
      </w:pPr>
      <w:r>
        <w:rPr>
          <w:rFonts w:hint="eastAsia" w:ascii="宋体" w:hAnsi="宋体" w:eastAsia="宋体" w:cs="宋体"/>
          <w:b/>
          <w:bCs/>
          <w:color w:val="auto"/>
          <w:sz w:val="24"/>
          <w:lang w:val="en-US" w:eastAsia="zh-CN"/>
        </w:rPr>
        <w:t>综合</w:t>
      </w:r>
      <w:r>
        <w:rPr>
          <w:rFonts w:hint="eastAsia" w:ascii="宋体" w:hAnsi="宋体" w:eastAsia="宋体" w:cs="宋体"/>
          <w:b/>
          <w:bCs/>
          <w:color w:val="auto"/>
          <w:sz w:val="24"/>
        </w:rPr>
        <w:t>部分（分值</w:t>
      </w:r>
      <w:r>
        <w:rPr>
          <w:rFonts w:hint="eastAsia" w:ascii="宋体" w:hAnsi="宋体" w:eastAsia="宋体" w:cs="宋体"/>
          <w:b/>
          <w:bCs/>
          <w:color w:val="auto"/>
          <w:sz w:val="24"/>
          <w:lang w:val="en-US" w:eastAsia="zh-CN"/>
        </w:rPr>
        <w:t>20</w:t>
      </w:r>
      <w:r>
        <w:rPr>
          <w:rFonts w:hint="eastAsia" w:ascii="宋体" w:hAnsi="宋体" w:eastAsia="宋体" w:cs="宋体"/>
          <w:b/>
          <w:bCs/>
          <w:color w:val="auto"/>
          <w:sz w:val="24"/>
        </w:rPr>
        <w:t>分）</w:t>
      </w:r>
    </w:p>
    <w:tbl>
      <w:tblPr>
        <w:tblStyle w:val="19"/>
        <w:tblW w:w="11662" w:type="dxa"/>
        <w:tblInd w:w="-37" w:type="dxa"/>
        <w:tblLayout w:type="fixed"/>
        <w:tblCellMar>
          <w:top w:w="0" w:type="dxa"/>
          <w:left w:w="108" w:type="dxa"/>
          <w:bottom w:w="0" w:type="dxa"/>
          <w:right w:w="108" w:type="dxa"/>
        </w:tblCellMar>
      </w:tblPr>
      <w:tblGrid>
        <w:gridCol w:w="2272"/>
        <w:gridCol w:w="5723"/>
        <w:gridCol w:w="1530"/>
        <w:gridCol w:w="2137"/>
      </w:tblGrid>
      <w:tr w14:paraId="6589894D">
        <w:tblPrEx>
          <w:tblCellMar>
            <w:top w:w="0" w:type="dxa"/>
            <w:left w:w="108" w:type="dxa"/>
            <w:bottom w:w="0" w:type="dxa"/>
            <w:right w:w="108" w:type="dxa"/>
          </w:tblCellMar>
        </w:tblPrEx>
        <w:trPr>
          <w:gridAfter w:val="1"/>
          <w:wAfter w:w="2137" w:type="dxa"/>
          <w:trHeight w:val="599" w:hRule="atLeast"/>
        </w:trPr>
        <w:tc>
          <w:tcPr>
            <w:tcW w:w="2272" w:type="dxa"/>
            <w:tcBorders>
              <w:top w:val="single" w:color="auto" w:sz="4" w:space="0"/>
              <w:left w:val="single" w:color="auto" w:sz="4" w:space="0"/>
              <w:bottom w:val="single" w:color="auto" w:sz="4" w:space="0"/>
              <w:right w:val="single" w:color="auto" w:sz="4" w:space="0"/>
            </w:tcBorders>
            <w:noWrap/>
            <w:vAlign w:val="center"/>
          </w:tcPr>
          <w:p w14:paraId="24BEF13C">
            <w:pPr>
              <w:widowControl/>
              <w:jc w:val="center"/>
              <w:rPr>
                <w:rFonts w:hAnsi="宋体" w:cs="宋体"/>
                <w:sz w:val="22"/>
                <w:szCs w:val="22"/>
              </w:rPr>
            </w:pPr>
            <w:r>
              <w:rPr>
                <w:rFonts w:hint="eastAsia" w:hAnsi="宋体" w:cs="宋体"/>
                <w:sz w:val="22"/>
                <w:szCs w:val="22"/>
              </w:rPr>
              <w:t>评分项目</w:t>
            </w:r>
          </w:p>
        </w:tc>
        <w:tc>
          <w:tcPr>
            <w:tcW w:w="5723" w:type="dxa"/>
            <w:tcBorders>
              <w:top w:val="single" w:color="auto" w:sz="4" w:space="0"/>
              <w:left w:val="nil"/>
              <w:bottom w:val="single" w:color="auto" w:sz="4" w:space="0"/>
              <w:right w:val="single" w:color="auto" w:sz="4" w:space="0"/>
            </w:tcBorders>
            <w:noWrap/>
            <w:vAlign w:val="center"/>
          </w:tcPr>
          <w:p w14:paraId="322618F7">
            <w:pPr>
              <w:widowControl/>
              <w:jc w:val="center"/>
              <w:rPr>
                <w:rFonts w:hAnsi="宋体" w:cs="宋体"/>
                <w:sz w:val="22"/>
                <w:szCs w:val="22"/>
              </w:rPr>
            </w:pPr>
            <w:r>
              <w:rPr>
                <w:rFonts w:hint="eastAsia" w:hAnsi="宋体" w:cs="宋体"/>
                <w:sz w:val="22"/>
                <w:szCs w:val="22"/>
              </w:rPr>
              <w:t>评分内容</w:t>
            </w:r>
          </w:p>
        </w:tc>
        <w:tc>
          <w:tcPr>
            <w:tcW w:w="1530" w:type="dxa"/>
            <w:tcBorders>
              <w:top w:val="single" w:color="auto" w:sz="4" w:space="0"/>
              <w:left w:val="nil"/>
              <w:bottom w:val="single" w:color="auto" w:sz="4" w:space="0"/>
              <w:right w:val="single" w:color="auto" w:sz="4" w:space="0"/>
            </w:tcBorders>
            <w:noWrap/>
            <w:vAlign w:val="center"/>
          </w:tcPr>
          <w:p w14:paraId="2702F196">
            <w:pPr>
              <w:widowControl/>
              <w:jc w:val="center"/>
              <w:rPr>
                <w:rFonts w:hAnsi="宋体" w:cs="宋体"/>
                <w:sz w:val="22"/>
                <w:szCs w:val="22"/>
              </w:rPr>
            </w:pPr>
            <w:r>
              <w:rPr>
                <w:rFonts w:hint="eastAsia" w:hAnsi="宋体" w:cs="宋体"/>
                <w:sz w:val="22"/>
                <w:szCs w:val="22"/>
              </w:rPr>
              <w:t>分值</w:t>
            </w:r>
          </w:p>
        </w:tc>
      </w:tr>
      <w:tr w14:paraId="2E63E6E1">
        <w:tblPrEx>
          <w:tblCellMar>
            <w:top w:w="0" w:type="dxa"/>
            <w:left w:w="108" w:type="dxa"/>
            <w:bottom w:w="0" w:type="dxa"/>
            <w:right w:w="108" w:type="dxa"/>
          </w:tblCellMar>
        </w:tblPrEx>
        <w:trPr>
          <w:gridAfter w:val="1"/>
          <w:wAfter w:w="2137" w:type="dxa"/>
          <w:trHeight w:val="1884" w:hRule="atLeast"/>
        </w:trPr>
        <w:tc>
          <w:tcPr>
            <w:tcW w:w="2272" w:type="dxa"/>
            <w:tcBorders>
              <w:top w:val="single" w:color="auto" w:sz="4" w:space="0"/>
              <w:left w:val="single" w:color="auto" w:sz="4" w:space="0"/>
              <w:bottom w:val="single" w:color="auto" w:sz="4" w:space="0"/>
              <w:right w:val="single" w:color="auto" w:sz="4" w:space="0"/>
            </w:tcBorders>
            <w:noWrap/>
            <w:vAlign w:val="center"/>
          </w:tcPr>
          <w:p w14:paraId="3AFDC5AE">
            <w:pPr>
              <w:widowControl/>
              <w:jc w:val="center"/>
              <w:rPr>
                <w:rFonts w:hAnsi="宋体" w:cs="宋体"/>
                <w:sz w:val="22"/>
                <w:szCs w:val="22"/>
              </w:rPr>
            </w:pPr>
            <w:r>
              <w:rPr>
                <w:rFonts w:hint="eastAsia" w:hAnsi="宋体" w:cs="宋体"/>
                <w:sz w:val="22"/>
                <w:szCs w:val="22"/>
              </w:rPr>
              <w:t>投标人企业整体实力及经营信誉（</w:t>
            </w:r>
            <w:r>
              <w:rPr>
                <w:rFonts w:hint="eastAsia" w:hAnsi="宋体" w:eastAsia="宋体" w:cs="宋体"/>
                <w:sz w:val="22"/>
                <w:szCs w:val="22"/>
                <w:lang w:val="en-US" w:eastAsia="zh-CN"/>
              </w:rPr>
              <w:t>3</w:t>
            </w:r>
            <w:r>
              <w:rPr>
                <w:rFonts w:hint="eastAsia" w:hAnsi="宋体" w:cs="宋体"/>
                <w:sz w:val="22"/>
                <w:szCs w:val="22"/>
              </w:rPr>
              <w:t>分）</w:t>
            </w:r>
          </w:p>
        </w:tc>
        <w:tc>
          <w:tcPr>
            <w:tcW w:w="5723" w:type="dxa"/>
            <w:tcBorders>
              <w:top w:val="single" w:color="auto" w:sz="4" w:space="0"/>
              <w:left w:val="single" w:color="auto" w:sz="4" w:space="0"/>
              <w:right w:val="single" w:color="auto" w:sz="4" w:space="0"/>
            </w:tcBorders>
            <w:noWrap/>
            <w:vAlign w:val="center"/>
          </w:tcPr>
          <w:p w14:paraId="0C418891">
            <w:pPr>
              <w:widowControl/>
              <w:numPr>
                <w:ilvl w:val="0"/>
                <w:numId w:val="10"/>
              </w:numPr>
              <w:tabs>
                <w:tab w:val="left" w:pos="893"/>
              </w:tabs>
              <w:jc w:val="left"/>
              <w:rPr>
                <w:rFonts w:ascii="宋体" w:hAnsi="宋体"/>
                <w:szCs w:val="21"/>
              </w:rPr>
            </w:pPr>
            <w:r>
              <w:rPr>
                <w:rFonts w:hint="eastAsia" w:ascii="宋体" w:hAnsi="宋体"/>
                <w:szCs w:val="21"/>
              </w:rPr>
              <w:t>根据投标人企业整体实力及经营信誉</w:t>
            </w:r>
            <w:r>
              <w:rPr>
                <w:rFonts w:hint="eastAsia" w:ascii="宋体" w:hAnsi="宋体"/>
                <w:color w:val="FF0000"/>
                <w:szCs w:val="21"/>
              </w:rPr>
              <w:t>酌情打分</w:t>
            </w:r>
            <w:r>
              <w:rPr>
                <w:rFonts w:hint="eastAsia" w:ascii="宋体" w:hAnsi="宋体"/>
                <w:szCs w:val="21"/>
              </w:rPr>
              <w:t>，优得</w:t>
            </w:r>
            <w:r>
              <w:rPr>
                <w:rFonts w:hint="eastAsia" w:ascii="宋体" w:hAnsi="宋体" w:eastAsia="宋体"/>
                <w:szCs w:val="21"/>
                <w:lang w:val="en-US" w:eastAsia="zh-CN"/>
              </w:rPr>
              <w:t>3</w:t>
            </w:r>
            <w:r>
              <w:rPr>
                <w:rFonts w:hint="eastAsia" w:ascii="宋体" w:hAnsi="宋体"/>
                <w:szCs w:val="21"/>
              </w:rPr>
              <w:t>分，良好</w:t>
            </w:r>
            <w:r>
              <w:rPr>
                <w:rFonts w:hint="eastAsia" w:ascii="宋体" w:hAnsi="宋体" w:eastAsia="宋体"/>
                <w:szCs w:val="21"/>
                <w:lang w:val="en-US" w:eastAsia="zh-CN"/>
              </w:rPr>
              <w:t>1-2</w:t>
            </w:r>
            <w:r>
              <w:rPr>
                <w:rFonts w:hint="eastAsia" w:ascii="宋体" w:hAnsi="宋体"/>
                <w:szCs w:val="21"/>
              </w:rPr>
              <w:t>分，较差不得分。</w:t>
            </w:r>
          </w:p>
          <w:p w14:paraId="1690FC10">
            <w:pPr>
              <w:widowControl/>
              <w:tabs>
                <w:tab w:val="left" w:pos="893"/>
              </w:tabs>
              <w:jc w:val="left"/>
              <w:rPr>
                <w:rFonts w:hAnsi="宋体" w:cs="宋体"/>
                <w:sz w:val="22"/>
                <w:szCs w:val="22"/>
              </w:rPr>
            </w:pPr>
          </w:p>
        </w:tc>
        <w:tc>
          <w:tcPr>
            <w:tcW w:w="1530" w:type="dxa"/>
            <w:tcBorders>
              <w:top w:val="single" w:color="auto" w:sz="4" w:space="0"/>
              <w:left w:val="single" w:color="auto" w:sz="4" w:space="0"/>
              <w:right w:val="single" w:color="auto" w:sz="4" w:space="0"/>
            </w:tcBorders>
            <w:noWrap/>
            <w:vAlign w:val="center"/>
          </w:tcPr>
          <w:p w14:paraId="38C1EB61">
            <w:pPr>
              <w:widowControl/>
              <w:jc w:val="center"/>
              <w:rPr>
                <w:rFonts w:hAnsi="宋体" w:cs="宋体"/>
                <w:sz w:val="22"/>
                <w:szCs w:val="22"/>
              </w:rPr>
            </w:pPr>
            <w:r>
              <w:rPr>
                <w:rFonts w:hint="eastAsia" w:hAnsi="宋体" w:cs="宋体"/>
                <w:sz w:val="22"/>
                <w:szCs w:val="22"/>
              </w:rPr>
              <w:t>0-</w:t>
            </w:r>
            <w:r>
              <w:rPr>
                <w:rFonts w:hint="eastAsia" w:hAnsi="宋体" w:eastAsia="宋体" w:cs="宋体"/>
                <w:sz w:val="22"/>
                <w:szCs w:val="22"/>
                <w:lang w:val="en-US" w:eastAsia="zh-CN"/>
              </w:rPr>
              <w:t>3</w:t>
            </w:r>
            <w:r>
              <w:rPr>
                <w:rFonts w:hint="eastAsia" w:hAnsi="宋体" w:cs="宋体"/>
                <w:sz w:val="22"/>
                <w:szCs w:val="22"/>
              </w:rPr>
              <w:t>分</w:t>
            </w:r>
          </w:p>
        </w:tc>
      </w:tr>
      <w:tr w14:paraId="2FF662C7">
        <w:tblPrEx>
          <w:tblCellMar>
            <w:top w:w="0" w:type="dxa"/>
            <w:left w:w="108" w:type="dxa"/>
            <w:bottom w:w="0" w:type="dxa"/>
            <w:right w:w="108" w:type="dxa"/>
          </w:tblCellMar>
        </w:tblPrEx>
        <w:trPr>
          <w:gridAfter w:val="1"/>
          <w:wAfter w:w="2137" w:type="dxa"/>
          <w:trHeight w:val="883" w:hRule="atLeast"/>
        </w:trPr>
        <w:tc>
          <w:tcPr>
            <w:tcW w:w="2272" w:type="dxa"/>
            <w:tcBorders>
              <w:top w:val="single" w:color="auto" w:sz="4" w:space="0"/>
              <w:left w:val="single" w:color="auto" w:sz="4" w:space="0"/>
              <w:bottom w:val="single" w:color="auto" w:sz="4" w:space="0"/>
              <w:right w:val="single" w:color="auto" w:sz="4" w:space="0"/>
            </w:tcBorders>
            <w:noWrap/>
            <w:vAlign w:val="center"/>
          </w:tcPr>
          <w:p w14:paraId="52092D5D">
            <w:pPr>
              <w:widowControl/>
              <w:jc w:val="center"/>
              <w:rPr>
                <w:rFonts w:hAnsi="宋体" w:cs="宋体"/>
                <w:bCs/>
                <w:szCs w:val="21"/>
              </w:rPr>
            </w:pPr>
            <w:r>
              <w:rPr>
                <w:rFonts w:hint="eastAsia" w:hAnsi="宋体" w:cs="宋体"/>
                <w:bCs/>
                <w:szCs w:val="21"/>
              </w:rPr>
              <w:t>产品使用评价（</w:t>
            </w:r>
            <w:r>
              <w:rPr>
                <w:rFonts w:hint="eastAsia" w:hAnsi="宋体" w:eastAsia="宋体" w:cs="宋体"/>
                <w:bCs/>
                <w:szCs w:val="21"/>
                <w:lang w:val="en-US" w:eastAsia="zh-CN"/>
              </w:rPr>
              <w:t>7</w:t>
            </w:r>
            <w:r>
              <w:rPr>
                <w:rFonts w:hint="eastAsia" w:hAnsi="宋体" w:cs="宋体"/>
                <w:bCs/>
                <w:szCs w:val="21"/>
              </w:rPr>
              <w:t>分）</w:t>
            </w:r>
          </w:p>
        </w:tc>
        <w:tc>
          <w:tcPr>
            <w:tcW w:w="5723" w:type="dxa"/>
            <w:tcBorders>
              <w:top w:val="single" w:color="auto" w:sz="4" w:space="0"/>
              <w:left w:val="single" w:color="auto" w:sz="4" w:space="0"/>
              <w:bottom w:val="single" w:color="auto" w:sz="4" w:space="0"/>
              <w:right w:val="single" w:color="auto" w:sz="4" w:space="0"/>
            </w:tcBorders>
            <w:noWrap/>
            <w:vAlign w:val="center"/>
          </w:tcPr>
          <w:p w14:paraId="6361A1F1">
            <w:pPr>
              <w:pStyle w:val="39"/>
              <w:tabs>
                <w:tab w:val="left" w:pos="634"/>
              </w:tabs>
              <w:rPr>
                <w:spacing w:val="-5"/>
                <w:szCs w:val="21"/>
              </w:rPr>
            </w:pPr>
            <w:r>
              <w:rPr>
                <w:rFonts w:hint="eastAsia" w:ascii="Times New Roman"/>
                <w:sz w:val="22"/>
                <w:szCs w:val="22"/>
                <w:lang w:val="en-US"/>
              </w:rPr>
              <w:t>根据投标产品的市场使用情况、历史评价等</w:t>
            </w:r>
            <w:r>
              <w:rPr>
                <w:rFonts w:hint="eastAsia" w:ascii="Times New Roman"/>
                <w:color w:val="FF0000"/>
                <w:sz w:val="22"/>
                <w:szCs w:val="22"/>
                <w:lang w:val="en-US"/>
              </w:rPr>
              <w:t>酌情打分</w:t>
            </w:r>
            <w:r>
              <w:rPr>
                <w:rFonts w:hint="eastAsia" w:ascii="Times New Roman"/>
                <w:sz w:val="22"/>
                <w:szCs w:val="22"/>
                <w:lang w:val="en-US"/>
              </w:rPr>
              <w:t>。优秀得</w:t>
            </w:r>
            <w:r>
              <w:rPr>
                <w:rFonts w:hint="eastAsia" w:ascii="Times New Roman" w:eastAsia="宋体"/>
                <w:sz w:val="22"/>
                <w:szCs w:val="22"/>
                <w:lang w:val="en-US" w:eastAsia="zh-CN"/>
              </w:rPr>
              <w:t>6-7</w:t>
            </w:r>
            <w:r>
              <w:rPr>
                <w:rFonts w:hint="eastAsia" w:ascii="Times New Roman"/>
                <w:sz w:val="22"/>
                <w:szCs w:val="22"/>
                <w:lang w:val="en-US"/>
              </w:rPr>
              <w:t>分，良好得</w:t>
            </w:r>
            <w:r>
              <w:rPr>
                <w:rFonts w:hint="eastAsia" w:ascii="Times New Roman" w:eastAsia="宋体"/>
                <w:sz w:val="22"/>
                <w:szCs w:val="22"/>
                <w:lang w:val="en-US" w:eastAsia="zh-CN"/>
              </w:rPr>
              <w:t>4-5</w:t>
            </w:r>
            <w:r>
              <w:rPr>
                <w:rFonts w:hint="eastAsia" w:ascii="Times New Roman"/>
                <w:sz w:val="22"/>
                <w:szCs w:val="22"/>
                <w:lang w:val="en-US"/>
              </w:rPr>
              <w:t>分，一般得0-</w:t>
            </w:r>
            <w:r>
              <w:rPr>
                <w:rFonts w:hint="eastAsia" w:ascii="Times New Roman" w:eastAsia="宋体"/>
                <w:sz w:val="22"/>
                <w:szCs w:val="22"/>
                <w:lang w:val="en-US" w:eastAsia="zh-CN"/>
              </w:rPr>
              <w:t>3</w:t>
            </w:r>
            <w:r>
              <w:rPr>
                <w:rFonts w:hint="eastAsia" w:ascii="Times New Roman"/>
                <w:sz w:val="22"/>
                <w:szCs w:val="22"/>
                <w:lang w:val="en-US"/>
              </w:rPr>
              <w:t>分。</w:t>
            </w:r>
          </w:p>
        </w:tc>
        <w:tc>
          <w:tcPr>
            <w:tcW w:w="1530" w:type="dxa"/>
            <w:tcBorders>
              <w:top w:val="single" w:color="auto" w:sz="4" w:space="0"/>
              <w:left w:val="single" w:color="auto" w:sz="4" w:space="0"/>
              <w:bottom w:val="single" w:color="auto" w:sz="4" w:space="0"/>
              <w:right w:val="single" w:color="auto" w:sz="4" w:space="0"/>
            </w:tcBorders>
            <w:noWrap/>
            <w:vAlign w:val="center"/>
          </w:tcPr>
          <w:p w14:paraId="774696FD">
            <w:pPr>
              <w:widowControl/>
              <w:jc w:val="center"/>
              <w:rPr>
                <w:rFonts w:hAnsi="宋体" w:cs="宋体"/>
                <w:sz w:val="22"/>
                <w:szCs w:val="22"/>
              </w:rPr>
            </w:pPr>
            <w:r>
              <w:rPr>
                <w:rFonts w:hint="eastAsia" w:hAnsi="宋体" w:cs="宋体"/>
                <w:sz w:val="22"/>
                <w:szCs w:val="22"/>
              </w:rPr>
              <w:t>0-</w:t>
            </w:r>
            <w:r>
              <w:rPr>
                <w:rFonts w:hint="eastAsia" w:hAnsi="宋体" w:eastAsia="宋体" w:cs="宋体"/>
                <w:sz w:val="22"/>
                <w:szCs w:val="22"/>
                <w:lang w:val="en-US" w:eastAsia="zh-CN"/>
              </w:rPr>
              <w:t>7</w:t>
            </w:r>
            <w:r>
              <w:rPr>
                <w:rFonts w:hint="eastAsia" w:hAnsi="宋体" w:cs="宋体"/>
                <w:sz w:val="22"/>
                <w:szCs w:val="22"/>
              </w:rPr>
              <w:t>分</w:t>
            </w:r>
          </w:p>
        </w:tc>
      </w:tr>
      <w:tr w14:paraId="501B3D03">
        <w:tblPrEx>
          <w:tblCellMar>
            <w:top w:w="0" w:type="dxa"/>
            <w:left w:w="108" w:type="dxa"/>
            <w:bottom w:w="0" w:type="dxa"/>
            <w:right w:w="108" w:type="dxa"/>
          </w:tblCellMar>
        </w:tblPrEx>
        <w:trPr>
          <w:gridAfter w:val="1"/>
          <w:wAfter w:w="2137" w:type="dxa"/>
          <w:cantSplit/>
          <w:trHeight w:val="2293" w:hRule="atLeast"/>
        </w:trPr>
        <w:tc>
          <w:tcPr>
            <w:tcW w:w="2272" w:type="dxa"/>
            <w:tcBorders>
              <w:top w:val="single" w:color="auto" w:sz="4" w:space="0"/>
              <w:left w:val="single" w:color="auto" w:sz="4" w:space="0"/>
              <w:bottom w:val="single" w:color="auto" w:sz="4" w:space="0"/>
              <w:right w:val="single" w:color="auto" w:sz="4" w:space="0"/>
            </w:tcBorders>
            <w:noWrap/>
            <w:vAlign w:val="center"/>
          </w:tcPr>
          <w:p w14:paraId="55206646">
            <w:pPr>
              <w:widowControl/>
              <w:jc w:val="center"/>
              <w:rPr>
                <w:rFonts w:hAnsi="宋体" w:cs="宋体"/>
                <w:bCs/>
                <w:szCs w:val="21"/>
              </w:rPr>
            </w:pPr>
            <w:r>
              <w:rPr>
                <w:rFonts w:hint="eastAsia"/>
              </w:rPr>
              <w:t>企业业绩（</w:t>
            </w:r>
            <w:r>
              <w:rPr>
                <w:rFonts w:hint="eastAsia" w:eastAsia="宋体"/>
                <w:lang w:val="en-US" w:eastAsia="zh-CN"/>
              </w:rPr>
              <w:t>3</w:t>
            </w:r>
            <w:r>
              <w:rPr>
                <w:rFonts w:hint="eastAsia"/>
              </w:rPr>
              <w:t>分）</w:t>
            </w:r>
          </w:p>
        </w:tc>
        <w:tc>
          <w:tcPr>
            <w:tcW w:w="5723" w:type="dxa"/>
            <w:tcBorders>
              <w:top w:val="single" w:color="auto" w:sz="4" w:space="0"/>
              <w:left w:val="single" w:color="auto" w:sz="4" w:space="0"/>
              <w:bottom w:val="single" w:color="auto" w:sz="4" w:space="0"/>
              <w:right w:val="single" w:color="auto" w:sz="4" w:space="0"/>
            </w:tcBorders>
            <w:noWrap/>
            <w:vAlign w:val="center"/>
          </w:tcPr>
          <w:p w14:paraId="26A3F554">
            <w:pPr>
              <w:widowControl/>
              <w:jc w:val="left"/>
              <w:rPr>
                <w:rFonts w:hAnsi="宋体" w:cs="宋体"/>
                <w:sz w:val="22"/>
                <w:szCs w:val="22"/>
              </w:rPr>
            </w:pPr>
            <w:r>
              <w:rPr>
                <w:rFonts w:hint="eastAsia"/>
              </w:rPr>
              <w:t>投标人近三年（</w:t>
            </w:r>
            <w:r>
              <w:rPr>
                <w:rFonts w:hint="eastAsia" w:eastAsia="宋体"/>
                <w:lang w:val="en-US" w:eastAsia="zh-CN"/>
              </w:rPr>
              <w:t>2022</w:t>
            </w:r>
            <w:r>
              <w:rPr>
                <w:rFonts w:hint="eastAsia"/>
              </w:rPr>
              <w:t>年1月1日至今），</w:t>
            </w:r>
            <w:r>
              <w:rPr>
                <w:rFonts w:hint="eastAsia" w:eastAsia="宋体"/>
                <w:lang w:val="en-US" w:eastAsia="zh-CN"/>
              </w:rPr>
              <w:t>类似</w:t>
            </w:r>
            <w:r>
              <w:rPr>
                <w:rFonts w:hint="eastAsia"/>
              </w:rPr>
              <w:t>有效销售业绩（提供合同复印件，以合同签订日期为准，</w:t>
            </w:r>
            <w:r>
              <w:rPr>
                <w:rFonts w:hint="eastAsia"/>
                <w:color w:val="FF0000"/>
              </w:rPr>
              <w:t>有效业绩指</w:t>
            </w:r>
            <w:r>
              <w:rPr>
                <w:rFonts w:hint="eastAsia" w:eastAsia="宋体"/>
                <w:color w:val="FF0000"/>
                <w:lang w:val="en-US" w:eastAsia="zh-CN"/>
              </w:rPr>
              <w:t>三年内</w:t>
            </w:r>
            <w:r>
              <w:rPr>
                <w:rFonts w:hint="eastAsia"/>
                <w:color w:val="FF0000"/>
              </w:rPr>
              <w:t>合同</w:t>
            </w:r>
            <w:r>
              <w:rPr>
                <w:rFonts w:hint="eastAsia" w:eastAsia="宋体"/>
                <w:color w:val="FF0000"/>
                <w:lang w:val="en-US" w:eastAsia="zh-CN"/>
              </w:rPr>
              <w:t>累计总</w:t>
            </w:r>
            <w:r>
              <w:rPr>
                <w:rFonts w:hint="eastAsia"/>
                <w:color w:val="FF0000"/>
              </w:rPr>
              <w:t>金额</w:t>
            </w:r>
            <w:r>
              <w:rPr>
                <w:rFonts w:hint="eastAsia" w:eastAsia="宋体"/>
                <w:color w:val="FF0000"/>
                <w:lang w:val="en-US" w:eastAsia="zh-CN"/>
              </w:rPr>
              <w:t>100</w:t>
            </w:r>
            <w:r>
              <w:rPr>
                <w:rFonts w:hint="eastAsia"/>
                <w:color w:val="FF0000"/>
              </w:rPr>
              <w:t>万元及以上）累计每增加</w:t>
            </w:r>
            <w:r>
              <w:rPr>
                <w:rFonts w:hint="eastAsia" w:eastAsia="宋体"/>
                <w:color w:val="FF0000"/>
                <w:lang w:val="en-US" w:eastAsia="zh-CN"/>
              </w:rPr>
              <w:t>10</w:t>
            </w:r>
            <w:r>
              <w:rPr>
                <w:rFonts w:hint="eastAsia"/>
                <w:color w:val="FF0000"/>
              </w:rPr>
              <w:t>万元（含），得1分，满分</w:t>
            </w:r>
            <w:r>
              <w:rPr>
                <w:rFonts w:hint="eastAsia" w:eastAsia="宋体"/>
                <w:color w:val="FF0000"/>
                <w:lang w:val="en-US" w:eastAsia="zh-CN"/>
              </w:rPr>
              <w:t>3</w:t>
            </w:r>
            <w:r>
              <w:rPr>
                <w:rFonts w:hint="eastAsia"/>
                <w:color w:val="FF0000"/>
              </w:rPr>
              <w:t>分。</w:t>
            </w:r>
            <w:r>
              <w:rPr>
                <w:rFonts w:hint="eastAsia"/>
              </w:rPr>
              <w:t>注：若合同为单价合同，需提供业主盖章认可</w:t>
            </w:r>
            <w:r>
              <w:rPr>
                <w:rFonts w:hint="eastAsia" w:eastAsia="宋体"/>
                <w:lang w:val="en-US" w:eastAsia="zh-CN"/>
              </w:rPr>
              <w:t>的月结框架</w:t>
            </w:r>
            <w:r>
              <w:rPr>
                <w:rFonts w:hint="eastAsia"/>
              </w:rPr>
              <w:t>或总金额相关证明材料。为方便评审，建议投标人自拟有效业绩清单。</w:t>
            </w:r>
          </w:p>
        </w:tc>
        <w:tc>
          <w:tcPr>
            <w:tcW w:w="1530" w:type="dxa"/>
            <w:tcBorders>
              <w:top w:val="single" w:color="auto" w:sz="4" w:space="0"/>
              <w:left w:val="single" w:color="auto" w:sz="4" w:space="0"/>
              <w:bottom w:val="single" w:color="auto" w:sz="4" w:space="0"/>
              <w:right w:val="single" w:color="auto" w:sz="4" w:space="0"/>
            </w:tcBorders>
            <w:noWrap/>
            <w:vAlign w:val="center"/>
          </w:tcPr>
          <w:p w14:paraId="7DB78499">
            <w:pPr>
              <w:widowControl/>
              <w:jc w:val="center"/>
              <w:rPr>
                <w:rFonts w:hAnsi="宋体" w:cs="宋体"/>
                <w:sz w:val="22"/>
                <w:szCs w:val="22"/>
              </w:rPr>
            </w:pPr>
            <w:r>
              <w:rPr>
                <w:rFonts w:hAnsi="宋体" w:cs="宋体"/>
                <w:sz w:val="22"/>
                <w:szCs w:val="22"/>
              </w:rPr>
              <w:t>0-</w:t>
            </w:r>
            <w:r>
              <w:rPr>
                <w:rFonts w:hint="eastAsia" w:hAnsi="宋体" w:eastAsia="宋体" w:cs="宋体"/>
                <w:sz w:val="22"/>
                <w:szCs w:val="22"/>
                <w:lang w:val="en-US" w:eastAsia="zh-CN"/>
              </w:rPr>
              <w:t>3</w:t>
            </w:r>
            <w:r>
              <w:rPr>
                <w:rFonts w:hint="eastAsia" w:hAnsi="宋体" w:cs="宋体"/>
                <w:sz w:val="22"/>
                <w:szCs w:val="22"/>
              </w:rPr>
              <w:t>分</w:t>
            </w:r>
          </w:p>
        </w:tc>
      </w:tr>
      <w:tr w14:paraId="2F6C8E70">
        <w:tblPrEx>
          <w:tblCellMar>
            <w:top w:w="0" w:type="dxa"/>
            <w:left w:w="108" w:type="dxa"/>
            <w:bottom w:w="0" w:type="dxa"/>
            <w:right w:w="108" w:type="dxa"/>
          </w:tblCellMar>
        </w:tblPrEx>
        <w:trPr>
          <w:gridAfter w:val="1"/>
          <w:wAfter w:w="2137" w:type="dxa"/>
          <w:cantSplit/>
          <w:trHeight w:val="3658" w:hRule="atLeast"/>
        </w:trPr>
        <w:tc>
          <w:tcPr>
            <w:tcW w:w="2272" w:type="dxa"/>
            <w:tcBorders>
              <w:top w:val="single" w:color="auto" w:sz="4" w:space="0"/>
              <w:left w:val="single" w:color="auto" w:sz="4" w:space="0"/>
              <w:right w:val="single" w:color="auto" w:sz="4" w:space="0"/>
            </w:tcBorders>
            <w:noWrap/>
            <w:vAlign w:val="center"/>
          </w:tcPr>
          <w:p w14:paraId="6EE71B67">
            <w:pPr>
              <w:widowControl/>
              <w:jc w:val="center"/>
              <w:rPr>
                <w:rFonts w:hAnsi="宋体" w:cs="宋体"/>
                <w:bCs/>
                <w:szCs w:val="21"/>
              </w:rPr>
            </w:pPr>
            <w:r>
              <w:rPr>
                <w:rFonts w:hint="eastAsia" w:hAnsi="宋体" w:eastAsia="宋体" w:cs="宋体"/>
                <w:bCs/>
                <w:szCs w:val="21"/>
                <w:lang w:val="en-US" w:eastAsia="zh-CN"/>
              </w:rPr>
              <w:t>服务、区域响应情况</w:t>
            </w:r>
            <w:r>
              <w:rPr>
                <w:rFonts w:hint="eastAsia" w:hAnsi="宋体" w:cs="宋体"/>
                <w:bCs/>
                <w:szCs w:val="21"/>
              </w:rPr>
              <w:t>（</w:t>
            </w:r>
            <w:r>
              <w:rPr>
                <w:rFonts w:hint="eastAsia" w:hAnsi="宋体" w:eastAsia="宋体" w:cs="宋体"/>
                <w:bCs/>
                <w:szCs w:val="21"/>
                <w:lang w:val="en-US" w:eastAsia="zh-CN"/>
              </w:rPr>
              <w:t>7</w:t>
            </w:r>
            <w:r>
              <w:rPr>
                <w:rFonts w:hint="eastAsia" w:hAnsi="宋体" w:cs="宋体"/>
                <w:bCs/>
                <w:szCs w:val="21"/>
              </w:rPr>
              <w:t>分）</w:t>
            </w:r>
          </w:p>
        </w:tc>
        <w:tc>
          <w:tcPr>
            <w:tcW w:w="5723" w:type="dxa"/>
            <w:tcBorders>
              <w:top w:val="single" w:color="auto" w:sz="4" w:space="0"/>
              <w:left w:val="single" w:color="auto" w:sz="4" w:space="0"/>
              <w:bottom w:val="single" w:color="auto" w:sz="4" w:space="0"/>
              <w:right w:val="single" w:color="auto" w:sz="4" w:space="0"/>
            </w:tcBorders>
            <w:noWrap/>
            <w:vAlign w:val="center"/>
          </w:tcPr>
          <w:p w14:paraId="0C55E046">
            <w:pPr>
              <w:widowControl/>
              <w:jc w:val="left"/>
              <w:rPr>
                <w:rFonts w:hAnsi="宋体" w:cs="宋体"/>
                <w:sz w:val="22"/>
                <w:szCs w:val="22"/>
              </w:rPr>
            </w:pPr>
            <w:r>
              <w:rPr>
                <w:rFonts w:hint="eastAsia" w:hAnsi="宋体" w:cs="宋体"/>
                <w:sz w:val="22"/>
                <w:szCs w:val="22"/>
              </w:rPr>
              <w:t>投标人针对本项目提供详尽的服务方案(包括但不限于质保期内外售后服务承诺、服务响应时间、应急响应、技术与服务支持等)，服务方案合理可行，符合项目要求，保障措施得力，服务人员经验充分：</w:t>
            </w:r>
          </w:p>
          <w:p w14:paraId="4ACBEA0C">
            <w:pPr>
              <w:widowControl/>
              <w:jc w:val="left"/>
              <w:rPr>
                <w:rFonts w:hAnsi="宋体" w:cs="宋体"/>
                <w:sz w:val="22"/>
                <w:szCs w:val="22"/>
              </w:rPr>
            </w:pPr>
            <w:r>
              <w:rPr>
                <w:rFonts w:hint="eastAsia" w:hAnsi="宋体" w:cs="宋体"/>
                <w:sz w:val="22"/>
                <w:szCs w:val="22"/>
              </w:rPr>
              <w:t>1.能够在招标人要求的时间内提供</w:t>
            </w:r>
            <w:r>
              <w:rPr>
                <w:rFonts w:hint="eastAsia" w:hAnsi="宋体" w:eastAsia="宋体" w:cs="宋体"/>
                <w:sz w:val="22"/>
                <w:szCs w:val="22"/>
                <w:lang w:val="en-US" w:eastAsia="zh-CN"/>
              </w:rPr>
              <w:t>物资送货上门服务</w:t>
            </w:r>
            <w:r>
              <w:rPr>
                <w:rFonts w:hint="eastAsia" w:hAnsi="宋体" w:cs="宋体"/>
                <w:sz w:val="22"/>
                <w:szCs w:val="22"/>
              </w:rPr>
              <w:t>等；</w:t>
            </w:r>
          </w:p>
          <w:p w14:paraId="35C61C3E">
            <w:pPr>
              <w:widowControl/>
              <w:jc w:val="left"/>
              <w:rPr>
                <w:rFonts w:hint="default" w:hAnsi="宋体" w:eastAsia="宋体" w:cs="宋体"/>
                <w:sz w:val="22"/>
                <w:szCs w:val="22"/>
                <w:lang w:val="en-US" w:eastAsia="zh-CN"/>
              </w:rPr>
            </w:pPr>
            <w:r>
              <w:rPr>
                <w:rFonts w:hint="eastAsia" w:hAnsi="宋体" w:cs="宋体"/>
                <w:sz w:val="22"/>
                <w:szCs w:val="22"/>
              </w:rPr>
              <w:t>2.具有成熟的服务体系，提供的服务方案能够满足招标人需求</w:t>
            </w:r>
            <w:r>
              <w:rPr>
                <w:rFonts w:hint="eastAsia" w:hAnsi="宋体" w:eastAsia="宋体" w:cs="宋体"/>
                <w:sz w:val="22"/>
                <w:szCs w:val="22"/>
                <w:lang w:eastAsia="zh-CN"/>
              </w:rPr>
              <w:t>（</w:t>
            </w:r>
            <w:r>
              <w:rPr>
                <w:rFonts w:hint="eastAsia" w:hAnsi="宋体" w:eastAsia="宋体" w:cs="宋体"/>
                <w:sz w:val="22"/>
                <w:szCs w:val="22"/>
                <w:lang w:val="en-US" w:eastAsia="zh-CN"/>
              </w:rPr>
              <w:t>包括但不限于配送、质量、技术支持等）；</w:t>
            </w:r>
          </w:p>
          <w:p w14:paraId="203DAC9D">
            <w:pPr>
              <w:widowControl/>
              <w:jc w:val="left"/>
              <w:rPr>
                <w:rFonts w:hint="eastAsia" w:hAnsi="宋体" w:eastAsia="宋体" w:cs="宋体"/>
                <w:sz w:val="22"/>
                <w:szCs w:val="22"/>
                <w:lang w:eastAsia="zh-CN"/>
              </w:rPr>
            </w:pPr>
            <w:r>
              <w:rPr>
                <w:rFonts w:hint="eastAsia" w:hAnsi="宋体" w:cs="宋体"/>
                <w:sz w:val="22"/>
                <w:szCs w:val="22"/>
              </w:rPr>
              <w:t>3.对重大事件和活动理解准确，保障范围明确，</w:t>
            </w:r>
            <w:r>
              <w:rPr>
                <w:rFonts w:hint="eastAsia" w:hAnsi="宋体" w:eastAsia="宋体" w:cs="宋体"/>
                <w:sz w:val="22"/>
                <w:szCs w:val="22"/>
                <w:lang w:val="en-US" w:eastAsia="zh-CN"/>
              </w:rPr>
              <w:t>质量把控</w:t>
            </w:r>
            <w:r>
              <w:rPr>
                <w:rFonts w:hint="eastAsia" w:hAnsi="宋体" w:cs="宋体"/>
                <w:sz w:val="22"/>
                <w:szCs w:val="22"/>
              </w:rPr>
              <w:t>符合招标方实际需求</w:t>
            </w:r>
            <w:r>
              <w:rPr>
                <w:rFonts w:hint="eastAsia" w:hAnsi="宋体" w:eastAsia="宋体" w:cs="宋体"/>
                <w:sz w:val="22"/>
                <w:szCs w:val="22"/>
                <w:lang w:eastAsia="zh-CN"/>
              </w:rPr>
              <w:t>；</w:t>
            </w:r>
          </w:p>
          <w:p w14:paraId="1F07A40C">
            <w:pPr>
              <w:pStyle w:val="11"/>
              <w:rPr>
                <w:rFonts w:hint="default" w:ascii="Arial" w:hAnsi="宋体" w:eastAsia="Arial" w:cs="宋体"/>
                <w:b w:val="0"/>
                <w:snapToGrid w:val="0"/>
                <w:color w:val="000000"/>
                <w:sz w:val="22"/>
                <w:szCs w:val="22"/>
                <w:lang w:val="en-US" w:eastAsia="zh-CN" w:bidi="ar-SA"/>
              </w:rPr>
            </w:pPr>
            <w:r>
              <w:rPr>
                <w:rFonts w:hint="eastAsia" w:ascii="Arial" w:hAnsi="宋体" w:eastAsia="Arial" w:cs="宋体"/>
                <w:b w:val="0"/>
                <w:snapToGrid w:val="0"/>
                <w:color w:val="000000"/>
                <w:sz w:val="22"/>
                <w:szCs w:val="22"/>
                <w:lang w:val="en-US" w:eastAsia="zh-CN" w:bidi="ar-SA"/>
              </w:rPr>
              <w:t>4.仓储体系，</w:t>
            </w:r>
            <w:r>
              <w:rPr>
                <w:rFonts w:hint="eastAsia" w:ascii="Arial" w:hAnsi="宋体" w:cs="宋体"/>
                <w:b w:val="0"/>
                <w:snapToGrid w:val="0"/>
                <w:color w:val="000000"/>
                <w:sz w:val="22"/>
                <w:szCs w:val="22"/>
                <w:lang w:val="en-US" w:eastAsia="zh-CN" w:bidi="ar-SA"/>
              </w:rPr>
              <w:t>如有</w:t>
            </w:r>
            <w:r>
              <w:rPr>
                <w:rFonts w:hint="eastAsia" w:ascii="Arial" w:hAnsi="宋体" w:eastAsia="Arial" w:cs="宋体"/>
                <w:b w:val="0"/>
                <w:snapToGrid w:val="0"/>
                <w:color w:val="000000"/>
                <w:sz w:val="22"/>
                <w:szCs w:val="22"/>
                <w:lang w:val="en-US" w:eastAsia="zh-CN" w:bidi="ar-SA"/>
              </w:rPr>
              <w:t>可提供照片等</w:t>
            </w:r>
            <w:r>
              <w:rPr>
                <w:rFonts w:hint="eastAsia" w:ascii="Arial" w:hAnsi="宋体" w:cs="宋体"/>
                <w:b w:val="0"/>
                <w:snapToGrid w:val="0"/>
                <w:color w:val="000000"/>
                <w:sz w:val="22"/>
                <w:szCs w:val="22"/>
                <w:lang w:val="en-US" w:eastAsia="zh-CN" w:bidi="ar-SA"/>
              </w:rPr>
              <w:t>。</w:t>
            </w:r>
          </w:p>
          <w:p w14:paraId="15A8A414">
            <w:pPr>
              <w:widowControl/>
              <w:jc w:val="left"/>
              <w:rPr>
                <w:rFonts w:hAnsi="宋体" w:cs="宋体"/>
                <w:sz w:val="22"/>
                <w:szCs w:val="22"/>
              </w:rPr>
            </w:pPr>
            <w:r>
              <w:rPr>
                <w:rFonts w:hint="eastAsia" w:hAnsi="宋体" w:cs="宋体"/>
                <w:sz w:val="22"/>
                <w:szCs w:val="22"/>
              </w:rPr>
              <w:t>优秀得</w:t>
            </w:r>
            <w:r>
              <w:rPr>
                <w:rFonts w:hint="eastAsia" w:hAnsi="宋体" w:eastAsia="宋体" w:cs="宋体"/>
                <w:sz w:val="22"/>
                <w:szCs w:val="22"/>
                <w:lang w:val="en-US" w:eastAsia="zh-CN"/>
              </w:rPr>
              <w:t>6-7</w:t>
            </w:r>
            <w:r>
              <w:rPr>
                <w:rFonts w:hint="eastAsia" w:hAnsi="宋体" w:cs="宋体"/>
                <w:sz w:val="22"/>
                <w:szCs w:val="22"/>
              </w:rPr>
              <w:t>分；一般得</w:t>
            </w:r>
            <w:r>
              <w:rPr>
                <w:rFonts w:hint="eastAsia" w:hAnsi="宋体" w:eastAsia="宋体" w:cs="宋体"/>
                <w:sz w:val="22"/>
                <w:szCs w:val="22"/>
                <w:lang w:val="en-US" w:eastAsia="zh-CN"/>
              </w:rPr>
              <w:t>3-5</w:t>
            </w:r>
            <w:r>
              <w:rPr>
                <w:rFonts w:hint="eastAsia" w:hAnsi="宋体" w:cs="宋体"/>
                <w:sz w:val="22"/>
                <w:szCs w:val="22"/>
              </w:rPr>
              <w:t>分；较差得0-</w:t>
            </w:r>
            <w:r>
              <w:rPr>
                <w:rFonts w:hint="eastAsia" w:hAnsi="宋体" w:eastAsia="宋体" w:cs="宋体"/>
                <w:sz w:val="22"/>
                <w:szCs w:val="22"/>
                <w:lang w:val="en-US" w:eastAsia="zh-CN"/>
              </w:rPr>
              <w:t>2</w:t>
            </w:r>
            <w:r>
              <w:rPr>
                <w:rFonts w:hint="eastAsia" w:hAnsi="宋体" w:cs="宋体"/>
                <w:sz w:val="22"/>
                <w:szCs w:val="22"/>
              </w:rPr>
              <w:t>分；</w:t>
            </w:r>
          </w:p>
        </w:tc>
        <w:tc>
          <w:tcPr>
            <w:tcW w:w="1530" w:type="dxa"/>
            <w:tcBorders>
              <w:top w:val="single" w:color="auto" w:sz="4" w:space="0"/>
              <w:left w:val="single" w:color="auto" w:sz="4" w:space="0"/>
              <w:right w:val="single" w:color="auto" w:sz="4" w:space="0"/>
            </w:tcBorders>
            <w:noWrap/>
            <w:vAlign w:val="center"/>
          </w:tcPr>
          <w:p w14:paraId="79171327">
            <w:pPr>
              <w:widowControl/>
              <w:jc w:val="center"/>
              <w:rPr>
                <w:rFonts w:hAnsi="宋体" w:cs="宋体"/>
                <w:sz w:val="22"/>
                <w:szCs w:val="22"/>
              </w:rPr>
            </w:pPr>
            <w:r>
              <w:rPr>
                <w:rFonts w:hint="eastAsia" w:hAnsi="宋体" w:cs="宋体"/>
                <w:sz w:val="22"/>
                <w:szCs w:val="22"/>
              </w:rPr>
              <w:t>0-</w:t>
            </w:r>
            <w:r>
              <w:rPr>
                <w:rFonts w:hint="eastAsia" w:hAnsi="宋体" w:eastAsia="宋体" w:cs="宋体"/>
                <w:sz w:val="22"/>
                <w:szCs w:val="22"/>
                <w:lang w:val="en-US" w:eastAsia="zh-CN"/>
              </w:rPr>
              <w:t>7</w:t>
            </w:r>
            <w:r>
              <w:rPr>
                <w:rFonts w:hint="eastAsia" w:hAnsi="宋体" w:cs="宋体"/>
                <w:sz w:val="22"/>
                <w:szCs w:val="22"/>
              </w:rPr>
              <w:t>分</w:t>
            </w:r>
          </w:p>
        </w:tc>
      </w:tr>
      <w:tr w14:paraId="3CA5E4D1">
        <w:tblPrEx>
          <w:tblCellMar>
            <w:top w:w="0" w:type="dxa"/>
            <w:left w:w="108" w:type="dxa"/>
            <w:bottom w:w="0" w:type="dxa"/>
            <w:right w:w="108" w:type="dxa"/>
          </w:tblCellMar>
        </w:tblPrEx>
        <w:trPr>
          <w:trHeight w:val="669" w:hRule="atLeast"/>
        </w:trPr>
        <w:tc>
          <w:tcPr>
            <w:tcW w:w="2272" w:type="dxa"/>
            <w:tcBorders>
              <w:top w:val="single" w:color="auto" w:sz="4" w:space="0"/>
              <w:left w:val="single" w:color="auto" w:sz="4" w:space="0"/>
              <w:bottom w:val="single" w:color="auto" w:sz="4" w:space="0"/>
              <w:right w:val="single" w:color="auto" w:sz="4" w:space="0"/>
            </w:tcBorders>
            <w:noWrap/>
            <w:vAlign w:val="center"/>
          </w:tcPr>
          <w:p w14:paraId="59A49FAC">
            <w:pPr>
              <w:widowControl/>
              <w:jc w:val="center"/>
              <w:rPr>
                <w:rFonts w:hAnsi="宋体" w:cs="宋体"/>
                <w:szCs w:val="24"/>
              </w:rPr>
            </w:pPr>
          </w:p>
        </w:tc>
        <w:tc>
          <w:tcPr>
            <w:tcW w:w="5723" w:type="dxa"/>
            <w:tcBorders>
              <w:top w:val="single" w:color="auto" w:sz="4" w:space="0"/>
              <w:left w:val="single" w:color="auto" w:sz="4" w:space="0"/>
              <w:bottom w:val="single" w:color="auto" w:sz="4" w:space="0"/>
              <w:right w:val="single" w:color="auto" w:sz="4" w:space="0"/>
            </w:tcBorders>
            <w:noWrap/>
            <w:vAlign w:val="center"/>
          </w:tcPr>
          <w:p w14:paraId="74713BCE">
            <w:pPr>
              <w:adjustRightInd w:val="0"/>
              <w:snapToGrid w:val="0"/>
              <w:spacing w:line="500" w:lineRule="exact"/>
              <w:ind w:firstLine="420" w:firstLineChars="200"/>
              <w:rPr>
                <w:rFonts w:hAnsi="宋体" w:cs="宋体"/>
                <w:szCs w:val="21"/>
              </w:rPr>
            </w:pPr>
            <w:r>
              <w:rPr>
                <w:rFonts w:hint="eastAsia" w:hAnsi="宋体" w:cs="宋体"/>
                <w:szCs w:val="24"/>
              </w:rPr>
              <w:t>合计</w:t>
            </w:r>
          </w:p>
        </w:tc>
        <w:tc>
          <w:tcPr>
            <w:tcW w:w="1530" w:type="dxa"/>
            <w:tcBorders>
              <w:top w:val="single" w:color="auto" w:sz="4" w:space="0"/>
              <w:left w:val="single" w:color="auto" w:sz="4" w:space="0"/>
              <w:bottom w:val="single" w:color="auto" w:sz="4" w:space="0"/>
              <w:right w:val="single" w:color="auto" w:sz="4" w:space="0"/>
            </w:tcBorders>
            <w:noWrap/>
            <w:vAlign w:val="center"/>
          </w:tcPr>
          <w:p w14:paraId="013C45A6">
            <w:pPr>
              <w:widowControl/>
              <w:jc w:val="center"/>
              <w:rPr>
                <w:szCs w:val="24"/>
              </w:rPr>
            </w:pPr>
            <w:r>
              <w:rPr>
                <w:rFonts w:hint="eastAsia" w:eastAsia="宋体"/>
                <w:szCs w:val="24"/>
                <w:lang w:val="en-US" w:eastAsia="zh-CN"/>
              </w:rPr>
              <w:t>20</w:t>
            </w:r>
            <w:r>
              <w:rPr>
                <w:rFonts w:hint="eastAsia"/>
                <w:szCs w:val="24"/>
              </w:rPr>
              <w:t>分</w:t>
            </w:r>
          </w:p>
        </w:tc>
        <w:tc>
          <w:tcPr>
            <w:tcW w:w="2137" w:type="dxa"/>
            <w:noWrap/>
            <w:vAlign w:val="center"/>
          </w:tcPr>
          <w:p w14:paraId="1FFEA3D1">
            <w:pPr>
              <w:widowControl/>
              <w:jc w:val="center"/>
              <w:rPr>
                <w:rFonts w:hAnsi="宋体" w:cs="宋体"/>
                <w:szCs w:val="24"/>
              </w:rPr>
            </w:pPr>
          </w:p>
        </w:tc>
      </w:tr>
    </w:tbl>
    <w:p w14:paraId="5E09770D">
      <w:pPr>
        <w:pStyle w:val="9"/>
        <w:ind w:left="0" w:leftChars="0" w:firstLine="0" w:firstLineChars="0"/>
        <w:rPr>
          <w:rFonts w:hint="eastAsia" w:ascii="宋体" w:hAnsi="宋体" w:eastAsia="宋体" w:cs="宋体"/>
          <w:color w:val="auto"/>
        </w:rPr>
      </w:pPr>
    </w:p>
    <w:p w14:paraId="3DB0B674">
      <w:pPr>
        <w:spacing w:line="360" w:lineRule="auto"/>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lang w:val="en-US" w:eastAsia="zh-CN"/>
        </w:rPr>
        <w:t>4</w:t>
      </w:r>
      <w:r>
        <w:rPr>
          <w:rFonts w:hint="eastAsia" w:ascii="宋体" w:hAnsi="宋体" w:eastAsia="宋体" w:cs="宋体"/>
          <w:b/>
          <w:bCs/>
          <w:color w:val="auto"/>
          <w:sz w:val="24"/>
        </w:rPr>
        <w:t>.定标办法</w:t>
      </w:r>
    </w:p>
    <w:p w14:paraId="564E5C0A">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.1总得分</w:t>
      </w:r>
    </w:p>
    <w:p w14:paraId="66E03481">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各投标人得分=（</w:t>
      </w:r>
      <w:r>
        <w:rPr>
          <w:rFonts w:hint="eastAsia" w:ascii="宋体" w:hAnsi="宋体" w:eastAsia="宋体" w:cs="宋体"/>
          <w:color w:val="auto"/>
          <w:sz w:val="24"/>
          <w:lang w:val="en-US" w:eastAsia="zh-CN"/>
        </w:rPr>
        <w:t>技术</w:t>
      </w:r>
      <w:r>
        <w:rPr>
          <w:rFonts w:hint="eastAsia" w:ascii="宋体" w:hAnsi="宋体" w:eastAsia="宋体" w:cs="宋体"/>
          <w:color w:val="auto"/>
          <w:sz w:val="24"/>
        </w:rPr>
        <w:t>分+价格分</w:t>
      </w:r>
      <w:r>
        <w:rPr>
          <w:rFonts w:hint="eastAsia" w:ascii="宋体" w:hAnsi="宋体" w:eastAsia="宋体" w:cs="宋体"/>
          <w:color w:val="auto"/>
          <w:sz w:val="24"/>
          <w:lang w:val="en-US" w:eastAsia="zh-CN"/>
        </w:rPr>
        <w:t>+综合分</w:t>
      </w:r>
      <w:r>
        <w:rPr>
          <w:rFonts w:hint="eastAsia" w:ascii="宋体" w:hAnsi="宋体" w:eastAsia="宋体" w:cs="宋体"/>
          <w:color w:val="auto"/>
          <w:sz w:val="24"/>
        </w:rPr>
        <w:t>）。</w:t>
      </w:r>
    </w:p>
    <w:p w14:paraId="23A589A5">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2</w:t>
      </w:r>
      <w:r>
        <w:rPr>
          <w:rFonts w:hint="eastAsia" w:ascii="宋体" w:hAnsi="宋体" w:eastAsia="宋体" w:cs="宋体"/>
          <w:color w:val="auto"/>
          <w:sz w:val="24"/>
        </w:rPr>
        <w:t>评委评审打分、计分过程中各项分数均取小数点后两位，小数点后第三位四舍五入。根据各评委的打分结果，在计算投标人得分时，对评委的</w:t>
      </w:r>
      <w:r>
        <w:rPr>
          <w:rFonts w:hint="eastAsia" w:ascii="宋体" w:hAnsi="宋体" w:eastAsia="宋体" w:cs="宋体"/>
          <w:color w:val="auto"/>
          <w:sz w:val="24"/>
          <w:lang w:eastAsia="zh-CN"/>
        </w:rPr>
        <w:t>技术</w:t>
      </w:r>
      <w:r>
        <w:rPr>
          <w:rFonts w:hint="eastAsia" w:ascii="宋体" w:hAnsi="宋体" w:eastAsia="宋体" w:cs="宋体"/>
          <w:color w:val="auto"/>
          <w:sz w:val="24"/>
        </w:rPr>
        <w:t>部分的打分结果分别汇总，再进行算术平均，计算出各有效投标人的得分。</w:t>
      </w:r>
    </w:p>
    <w:p w14:paraId="7B3289AD">
      <w:pPr>
        <w:spacing w:line="360" w:lineRule="auto"/>
        <w:ind w:firstLine="480" w:firstLineChars="200"/>
        <w:rPr>
          <w:rFonts w:hint="eastAsia" w:ascii="宋体" w:hAnsi="宋体" w:eastAsia="宋体" w:cs="宋体"/>
          <w:color w:val="auto"/>
          <w:sz w:val="24"/>
          <w:highlight w:val="yellow"/>
          <w:lang w:val="en-US" w:eastAsia="zh-CN"/>
        </w:rPr>
      </w:pPr>
      <w:r>
        <w:rPr>
          <w:rFonts w:hint="eastAsia" w:ascii="宋体" w:hAnsi="宋体" w:eastAsia="宋体" w:cs="宋体"/>
          <w:color w:val="auto"/>
          <w:sz w:val="24"/>
          <w:lang w:val="en-US" w:eastAsia="zh-CN"/>
        </w:rPr>
        <w:t>5</w:t>
      </w:r>
      <w:r>
        <w:rPr>
          <w:rFonts w:hint="eastAsia" w:ascii="宋体" w:hAnsi="宋体" w:eastAsia="宋体" w:cs="宋体"/>
          <w:color w:val="auto"/>
          <w:sz w:val="24"/>
        </w:rPr>
        <w:t>.评标小组评委依据得分高低顺序依次确定</w:t>
      </w:r>
      <w:r>
        <w:rPr>
          <w:rFonts w:hint="eastAsia" w:ascii="宋体" w:hAnsi="宋体" w:eastAsia="宋体" w:cs="宋体"/>
          <w:color w:val="auto"/>
          <w:sz w:val="24"/>
          <w:lang w:val="en-US" w:eastAsia="zh-CN"/>
        </w:rPr>
        <w:t>一家</w:t>
      </w:r>
      <w:r>
        <w:rPr>
          <w:rFonts w:hint="eastAsia" w:ascii="宋体" w:hAnsi="宋体" w:eastAsia="宋体" w:cs="宋体"/>
          <w:color w:val="auto"/>
          <w:sz w:val="24"/>
        </w:rPr>
        <w:t>中标候选人。如果出现并列得分最高，则确定价格较低者排名在前；价格投标仍相</w:t>
      </w:r>
      <w:r>
        <w:rPr>
          <w:rFonts w:hint="eastAsia" w:ascii="宋体" w:hAnsi="宋体" w:eastAsia="宋体" w:cs="宋体"/>
          <w:color w:val="auto"/>
          <w:sz w:val="24"/>
          <w:lang w:val="en-US" w:eastAsia="zh-CN"/>
        </w:rPr>
        <w:t>同时则采用抽签方式现场确定中标候选人。</w:t>
      </w:r>
    </w:p>
    <w:p w14:paraId="6EE85AE3">
      <w:pPr>
        <w:spacing w:line="360" w:lineRule="auto"/>
        <w:ind w:firstLine="480" w:firstLineChars="200"/>
        <w:rPr>
          <w:rFonts w:hint="eastAsia" w:ascii="宋体" w:hAnsi="宋体" w:eastAsia="宋体" w:cs="宋体"/>
          <w:lang w:val="en-US" w:eastAsia="zh-CN"/>
        </w:rPr>
        <w:sectPr>
          <w:pgSz w:w="11907" w:h="16839"/>
          <w:pgMar w:top="1432" w:right="1335" w:bottom="1201" w:left="1389" w:header="852" w:footer="1021"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z w:val="24"/>
          <w:lang w:val="en-US" w:eastAsia="zh-CN"/>
        </w:rPr>
        <w:t>6</w:t>
      </w:r>
      <w:r>
        <w:rPr>
          <w:rFonts w:hint="eastAsia" w:ascii="宋体" w:hAnsi="宋体" w:eastAsia="宋体" w:cs="宋体"/>
          <w:color w:val="auto"/>
          <w:sz w:val="24"/>
        </w:rPr>
        <w:t>.中标人因不可抗力或者自身原因放弃中标资格或者不能履行合同的，招标人可取消其中标资格，中标人还应对招标人造成的损失予以赔偿。同时，招标人可以视情况与排位在中标人之后第一位的中标候选人签订合同，以此类推</w:t>
      </w:r>
      <w:r>
        <w:rPr>
          <w:rFonts w:hint="eastAsia" w:ascii="宋体" w:hAnsi="宋体" w:eastAsia="宋体" w:cs="宋体"/>
          <w:color w:val="auto"/>
          <w:sz w:val="24"/>
          <w:lang w:eastAsia="zh-CN"/>
        </w:rPr>
        <w:t>。</w:t>
      </w:r>
    </w:p>
    <w:p w14:paraId="1EF4307E">
      <w:pPr>
        <w:spacing w:before="240" w:beforeLines="100" w:after="120" w:afterLines="50" w:line="360" w:lineRule="auto"/>
        <w:jc w:val="center"/>
        <w:outlineLvl w:val="0"/>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pPr>
      <w:bookmarkStart w:id="126" w:name="_Toc18742"/>
      <w:bookmarkStart w:id="127" w:name="_Toc14384"/>
      <w:bookmarkStart w:id="128" w:name="_Toc12820"/>
      <w:bookmarkStart w:id="129" w:name="_Toc20197"/>
      <w:r>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t>六、技术要求</w:t>
      </w:r>
      <w:bookmarkEnd w:id="126"/>
      <w:bookmarkEnd w:id="127"/>
      <w:bookmarkEnd w:id="128"/>
      <w:bookmarkEnd w:id="129"/>
    </w:p>
    <w:p w14:paraId="27ECD777">
      <w:pPr>
        <w:pStyle w:val="7"/>
        <w:spacing w:line="360" w:lineRule="auto"/>
        <w:rPr>
          <w:rFonts w:hint="eastAsia" w:ascii="宋体" w:hAnsi="宋体" w:eastAsia="宋体" w:cs="宋体"/>
        </w:rPr>
      </w:pPr>
      <w:r>
        <w:rPr>
          <w:rFonts w:hint="eastAsia" w:ascii="宋体" w:hAnsi="宋体" w:eastAsia="宋体" w:cs="宋体"/>
        </w:rPr>
        <w:t>投标人应满足以下要求：</w:t>
      </w:r>
    </w:p>
    <w:p w14:paraId="73DF5126">
      <w:pPr>
        <w:pStyle w:val="7"/>
        <w:numPr>
          <w:ilvl w:val="0"/>
          <w:numId w:val="0"/>
        </w:numPr>
        <w:kinsoku w:val="0"/>
        <w:autoSpaceDE w:val="0"/>
        <w:autoSpaceDN w:val="0"/>
        <w:adjustRightInd w:val="0"/>
        <w:snapToGrid w:val="0"/>
        <w:spacing w:line="360" w:lineRule="auto"/>
        <w:textAlignment w:val="baseline"/>
        <w:rPr>
          <w:rFonts w:hint="default" w:cs="宋体"/>
          <w:b/>
          <w:bCs/>
          <w:color w:val="auto"/>
          <w:lang w:val="en-US" w:eastAsia="zh-CN"/>
        </w:rPr>
      </w:pPr>
      <w:r>
        <w:rPr>
          <w:rFonts w:hint="eastAsia" w:cs="宋体"/>
          <w:b/>
          <w:bCs/>
          <w:color w:val="auto"/>
          <w:lang w:val="en-US" w:eastAsia="zh-CN"/>
        </w:rPr>
        <w:t>标段</w:t>
      </w:r>
      <w:r>
        <w:rPr>
          <w:rFonts w:hint="eastAsia" w:ascii="宋体" w:hAnsi="宋体" w:eastAsia="宋体" w:cs="宋体"/>
          <w:b/>
          <w:bCs/>
          <w:color w:val="auto"/>
          <w:lang w:val="en-US" w:eastAsia="zh-CN"/>
        </w:rPr>
        <w:t>一：</w:t>
      </w:r>
      <w:r>
        <w:rPr>
          <w:rFonts w:hint="default" w:cs="宋体"/>
          <w:b/>
          <w:bCs/>
          <w:color w:val="auto"/>
          <w:lang w:val="en-US" w:eastAsia="zh-CN"/>
        </w:rPr>
        <w:t>高真空多功能控型机加压加热及控制系统</w:t>
      </w:r>
    </w:p>
    <w:p w14:paraId="6DCFD9FC">
      <w:pPr>
        <w:keepNext w:val="0"/>
        <w:keepLines w:val="0"/>
        <w:widowControl/>
        <w:suppressLineNumbers w:val="0"/>
        <w:jc w:val="left"/>
        <w:rPr>
          <w:rFonts w:hint="eastAsia" w:cs="宋体"/>
          <w:b/>
          <w:bCs/>
          <w:color w:val="auto"/>
          <w:lang w:val="en-US" w:eastAsia="zh-CN"/>
        </w:rPr>
      </w:pPr>
      <w:r>
        <w:rPr>
          <w:rFonts w:hint="eastAsia" w:ascii="宋体" w:hAnsi="宋体" w:eastAsia="宋体" w:cs="宋体"/>
          <w:snapToGrid w:val="0"/>
          <w:color w:val="000000"/>
          <w:kern w:val="0"/>
          <w:sz w:val="24"/>
          <w:szCs w:val="24"/>
          <w:lang w:val="en-US" w:eastAsia="zh-CN" w:bidi="ar"/>
        </w:rPr>
        <w:t>一、</w:t>
      </w:r>
      <w:r>
        <w:rPr>
          <w:rFonts w:ascii="宋体" w:hAnsi="宋体" w:eastAsia="宋体" w:cs="宋体"/>
          <w:snapToGrid w:val="0"/>
          <w:color w:val="000000"/>
          <w:kern w:val="0"/>
          <w:sz w:val="24"/>
          <w:szCs w:val="24"/>
          <w:lang w:val="en-US" w:eastAsia="zh-CN" w:bidi="ar"/>
        </w:rPr>
        <w:t>电气控制系统验收参数</w:t>
      </w:r>
    </w:p>
    <w:tbl>
      <w:tblPr>
        <w:tblStyle w:val="19"/>
        <w:tblW w:w="91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64"/>
        <w:gridCol w:w="1605"/>
        <w:gridCol w:w="6675"/>
      </w:tblGrid>
      <w:tr w14:paraId="4FF2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blHeader/>
        </w:trPr>
        <w:tc>
          <w:tcPr>
            <w:tcW w:w="864" w:type="dxa"/>
            <w:shd w:val="clear" w:color="auto" w:fill="auto"/>
            <w:tcMar>
              <w:top w:w="120" w:type="dxa"/>
              <w:left w:w="120" w:type="dxa"/>
              <w:bottom w:w="120" w:type="dxa"/>
              <w:right w:w="120" w:type="dxa"/>
            </w:tcMar>
            <w:vAlign w:val="top"/>
          </w:tcPr>
          <w:p w14:paraId="23DD2A9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序号</w:t>
            </w:r>
          </w:p>
        </w:tc>
        <w:tc>
          <w:tcPr>
            <w:tcW w:w="1605" w:type="dxa"/>
            <w:shd w:val="clear" w:color="auto" w:fill="auto"/>
            <w:tcMar>
              <w:top w:w="120" w:type="dxa"/>
              <w:left w:w="120" w:type="dxa"/>
              <w:bottom w:w="120" w:type="dxa"/>
              <w:right w:w="120" w:type="dxa"/>
            </w:tcMar>
            <w:vAlign w:val="top"/>
          </w:tcPr>
          <w:p w14:paraId="23073C6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验收项目</w:t>
            </w:r>
          </w:p>
        </w:tc>
        <w:tc>
          <w:tcPr>
            <w:tcW w:w="6675" w:type="dxa"/>
            <w:shd w:val="clear" w:color="auto" w:fill="auto"/>
            <w:tcMar>
              <w:top w:w="120" w:type="dxa"/>
              <w:left w:w="120" w:type="dxa"/>
              <w:bottom w:w="120" w:type="dxa"/>
              <w:right w:w="120" w:type="dxa"/>
            </w:tcMar>
            <w:vAlign w:val="top"/>
          </w:tcPr>
          <w:p w14:paraId="4EDC64C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技术参数指标</w:t>
            </w:r>
          </w:p>
        </w:tc>
      </w:tr>
      <w:tr w14:paraId="5130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864" w:type="dxa"/>
            <w:shd w:val="clear" w:color="auto" w:fill="auto"/>
            <w:tcMar>
              <w:top w:w="120" w:type="dxa"/>
              <w:left w:w="120" w:type="dxa"/>
              <w:bottom w:w="120" w:type="dxa"/>
              <w:right w:w="120" w:type="dxa"/>
            </w:tcMar>
            <w:vAlign w:val="top"/>
          </w:tcPr>
          <w:p w14:paraId="0CB9EB6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1.1</w:t>
            </w:r>
          </w:p>
        </w:tc>
        <w:tc>
          <w:tcPr>
            <w:tcW w:w="1605" w:type="dxa"/>
            <w:shd w:val="clear" w:color="auto" w:fill="auto"/>
            <w:tcMar>
              <w:top w:w="120" w:type="dxa"/>
              <w:left w:w="120" w:type="dxa"/>
              <w:bottom w:w="120" w:type="dxa"/>
              <w:right w:w="120" w:type="dxa"/>
            </w:tcMar>
            <w:vAlign w:val="top"/>
          </w:tcPr>
          <w:p w14:paraId="36DD490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整体控制架构</w:t>
            </w:r>
          </w:p>
        </w:tc>
        <w:tc>
          <w:tcPr>
            <w:tcW w:w="6675" w:type="dxa"/>
            <w:shd w:val="clear" w:color="auto" w:fill="auto"/>
            <w:tcMar>
              <w:top w:w="120" w:type="dxa"/>
              <w:left w:w="120" w:type="dxa"/>
              <w:bottom w:w="120" w:type="dxa"/>
              <w:right w:w="120" w:type="dxa"/>
            </w:tcMar>
            <w:vAlign w:val="top"/>
          </w:tcPr>
          <w:p w14:paraId="24B617F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采用PLC+工控机+人机界面一体化控制架构，支持熔炼全流程自动化控制、数据溯源、故障联锁保护，运行稳定、安全合规</w:t>
            </w:r>
          </w:p>
        </w:tc>
      </w:tr>
      <w:tr w14:paraId="639C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864" w:type="dxa"/>
            <w:shd w:val="clear" w:color="auto" w:fill="auto"/>
            <w:tcMar>
              <w:top w:w="120" w:type="dxa"/>
              <w:left w:w="120" w:type="dxa"/>
              <w:bottom w:w="120" w:type="dxa"/>
              <w:right w:w="120" w:type="dxa"/>
            </w:tcMar>
            <w:vAlign w:val="top"/>
          </w:tcPr>
          <w:p w14:paraId="35F9FB5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1.2</w:t>
            </w:r>
          </w:p>
        </w:tc>
        <w:tc>
          <w:tcPr>
            <w:tcW w:w="1605" w:type="dxa"/>
            <w:shd w:val="clear" w:color="auto" w:fill="auto"/>
            <w:tcMar>
              <w:top w:w="120" w:type="dxa"/>
              <w:left w:w="120" w:type="dxa"/>
              <w:bottom w:w="120" w:type="dxa"/>
              <w:right w:w="120" w:type="dxa"/>
            </w:tcMar>
            <w:vAlign w:val="top"/>
          </w:tcPr>
          <w:p w14:paraId="0926758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核心硬件配置</w:t>
            </w:r>
          </w:p>
        </w:tc>
        <w:tc>
          <w:tcPr>
            <w:tcW w:w="6675" w:type="dxa"/>
            <w:shd w:val="clear" w:color="auto" w:fill="auto"/>
            <w:tcMar>
              <w:top w:w="120" w:type="dxa"/>
              <w:left w:w="120" w:type="dxa"/>
              <w:bottom w:w="120" w:type="dxa"/>
              <w:right w:w="120" w:type="dxa"/>
            </w:tcMar>
            <w:vAlign w:val="top"/>
          </w:tcPr>
          <w:p w14:paraId="47DF588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上位机：惠普Z系列工作站/西门子工控机 + 诺维19寸工业显示器</w:t>
            </w:r>
          </w:p>
          <w:p w14:paraId="5CEB59E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主控PLC：德国西门子S7系列</w:t>
            </w:r>
          </w:p>
          <w:p w14:paraId="6F46891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强电元件：施耐德（断路器、接触器、直流电源、声光报警器）</w:t>
            </w:r>
          </w:p>
          <w:p w14:paraId="70114AE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控制辅件：日本和泉（继电器、按钮、指示灯）</w:t>
            </w:r>
          </w:p>
          <w:p w14:paraId="6E71077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真空检测：成都正华/成都睿宝高精度测量元件</w:t>
            </w:r>
          </w:p>
          <w:p w14:paraId="3AF055A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温度检测：日本山武工业测温仪表</w:t>
            </w:r>
          </w:p>
          <w:p w14:paraId="66C007A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柜体配置：专用集中控制柜，满足工业现场防护、布线规范要求</w:t>
            </w:r>
          </w:p>
        </w:tc>
      </w:tr>
      <w:tr w14:paraId="2CE0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864" w:type="dxa"/>
            <w:shd w:val="clear" w:color="auto" w:fill="auto"/>
            <w:tcMar>
              <w:top w:w="120" w:type="dxa"/>
              <w:left w:w="120" w:type="dxa"/>
              <w:bottom w:w="120" w:type="dxa"/>
              <w:right w:w="120" w:type="dxa"/>
            </w:tcMar>
            <w:vAlign w:val="top"/>
          </w:tcPr>
          <w:p w14:paraId="52AF35B0">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1.3</w:t>
            </w:r>
          </w:p>
        </w:tc>
        <w:tc>
          <w:tcPr>
            <w:tcW w:w="1605" w:type="dxa"/>
            <w:shd w:val="clear" w:color="auto" w:fill="auto"/>
            <w:tcMar>
              <w:top w:w="120" w:type="dxa"/>
              <w:left w:w="120" w:type="dxa"/>
              <w:bottom w:w="120" w:type="dxa"/>
              <w:right w:w="120" w:type="dxa"/>
            </w:tcMar>
            <w:vAlign w:val="top"/>
          </w:tcPr>
          <w:p w14:paraId="09DC442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配套软件版本</w:t>
            </w:r>
          </w:p>
        </w:tc>
        <w:tc>
          <w:tcPr>
            <w:tcW w:w="6675" w:type="dxa"/>
            <w:shd w:val="clear" w:color="auto" w:fill="auto"/>
            <w:tcMar>
              <w:top w:w="120" w:type="dxa"/>
              <w:left w:w="120" w:type="dxa"/>
              <w:bottom w:w="120" w:type="dxa"/>
              <w:right w:w="120" w:type="dxa"/>
            </w:tcMar>
            <w:vAlign w:val="top"/>
          </w:tcPr>
          <w:p w14:paraId="46704D5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组态软件：WinCC_flexible_SMART_V3 SP2</w:t>
            </w:r>
          </w:p>
          <w:p w14:paraId="6E9C0EB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编程软件：STEP 7 MicroWIN SMART V2.4</w:t>
            </w:r>
          </w:p>
          <w:p w14:paraId="6149D82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控制系统：真空感应炉自动化控制系统 V1.0（含专用PLC运行程序）</w:t>
            </w:r>
          </w:p>
        </w:tc>
      </w:tr>
      <w:tr w14:paraId="2E51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864" w:type="dxa"/>
            <w:shd w:val="clear" w:color="auto" w:fill="auto"/>
            <w:tcMar>
              <w:top w:w="120" w:type="dxa"/>
              <w:left w:w="120" w:type="dxa"/>
              <w:bottom w:w="120" w:type="dxa"/>
              <w:right w:w="120" w:type="dxa"/>
            </w:tcMar>
            <w:vAlign w:val="top"/>
          </w:tcPr>
          <w:p w14:paraId="18440FC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1.4</w:t>
            </w:r>
          </w:p>
        </w:tc>
        <w:tc>
          <w:tcPr>
            <w:tcW w:w="1605" w:type="dxa"/>
            <w:shd w:val="clear" w:color="auto" w:fill="auto"/>
            <w:tcMar>
              <w:top w:w="120" w:type="dxa"/>
              <w:left w:w="120" w:type="dxa"/>
              <w:bottom w:w="120" w:type="dxa"/>
              <w:right w:w="120" w:type="dxa"/>
            </w:tcMar>
            <w:vAlign w:val="top"/>
          </w:tcPr>
          <w:p w14:paraId="4EBC69B0">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核心控制功能</w:t>
            </w:r>
          </w:p>
        </w:tc>
        <w:tc>
          <w:tcPr>
            <w:tcW w:w="6675" w:type="dxa"/>
            <w:shd w:val="clear" w:color="auto" w:fill="auto"/>
            <w:tcMar>
              <w:top w:w="120" w:type="dxa"/>
              <w:left w:w="120" w:type="dxa"/>
              <w:bottom w:w="120" w:type="dxa"/>
              <w:right w:w="120" w:type="dxa"/>
            </w:tcMar>
            <w:vAlign w:val="top"/>
          </w:tcPr>
          <w:p w14:paraId="6DFE8C8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信息管理：熔炼、工艺数据存储、查询、配方自定义与一键调用</w:t>
            </w:r>
          </w:p>
          <w:p w14:paraId="0073800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系统联动：真空、惰性气体、液压、水冷系统全自动联锁控制</w:t>
            </w:r>
          </w:p>
          <w:p w14:paraId="1EF349E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熔炼控制：自动测温、精准加料、模具调控、自动升温工艺控制</w:t>
            </w:r>
          </w:p>
          <w:p w14:paraId="0F94B9C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数据管理：全设备参数实时采集、在线设置、长期存储追溯</w:t>
            </w:r>
          </w:p>
          <w:p w14:paraId="34C8152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安全防护：故障自动检测、声光报警、超限联锁停机</w:t>
            </w:r>
          </w:p>
          <w:p w14:paraId="2438F5F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智能维护：压升率检测、设备状态监测、维护提醒推送</w:t>
            </w:r>
          </w:p>
        </w:tc>
      </w:tr>
      <w:tr w14:paraId="4EEA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864" w:type="dxa"/>
            <w:shd w:val="clear" w:color="auto" w:fill="auto"/>
            <w:tcMar>
              <w:top w:w="120" w:type="dxa"/>
              <w:left w:w="120" w:type="dxa"/>
              <w:bottom w:w="120" w:type="dxa"/>
              <w:right w:w="120" w:type="dxa"/>
            </w:tcMar>
            <w:vAlign w:val="top"/>
          </w:tcPr>
          <w:p w14:paraId="0E5F7B3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1.5</w:t>
            </w:r>
          </w:p>
        </w:tc>
        <w:tc>
          <w:tcPr>
            <w:tcW w:w="1605" w:type="dxa"/>
            <w:shd w:val="clear" w:color="auto" w:fill="auto"/>
            <w:tcMar>
              <w:top w:w="120" w:type="dxa"/>
              <w:left w:w="120" w:type="dxa"/>
              <w:bottom w:w="120" w:type="dxa"/>
              <w:right w:w="120" w:type="dxa"/>
            </w:tcMar>
            <w:vAlign w:val="top"/>
          </w:tcPr>
          <w:p w14:paraId="1AF3FEA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人机界面与权限管控</w:t>
            </w:r>
          </w:p>
        </w:tc>
        <w:tc>
          <w:tcPr>
            <w:tcW w:w="6675" w:type="dxa"/>
            <w:shd w:val="clear" w:color="auto" w:fill="auto"/>
            <w:tcMar>
              <w:top w:w="120" w:type="dxa"/>
              <w:left w:w="120" w:type="dxa"/>
              <w:bottom w:w="120" w:type="dxa"/>
              <w:right w:w="120" w:type="dxa"/>
            </w:tcMar>
            <w:vAlign w:val="top"/>
          </w:tcPr>
          <w:p w14:paraId="598CA18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权限分级：操作员（仅查看操作）、管理员（全权限+参数修改）两级管控</w:t>
            </w:r>
          </w:p>
          <w:p w14:paraId="19BE9CF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显示画面：登录、配方、设备、真空、曲线、参数、报警、维护八大功能界面</w:t>
            </w:r>
          </w:p>
          <w:p w14:paraId="747349E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操作保护：真空泵阀启停时序联锁，误操作锁定，联锁状态可视化提示</w:t>
            </w:r>
          </w:p>
          <w:p w14:paraId="2ECE3A0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数据追溯：4组核心数据（真空度、压力、电源、温度）曲线实时显示、历史回溯</w:t>
            </w:r>
          </w:p>
          <w:p w14:paraId="63AA097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报警记录：全故障报警实时弹窗、可确认、可查询历史记录</w:t>
            </w:r>
          </w:p>
        </w:tc>
      </w:tr>
      <w:tr w14:paraId="7414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864" w:type="dxa"/>
            <w:shd w:val="clear" w:color="auto" w:fill="auto"/>
            <w:tcMar>
              <w:top w:w="120" w:type="dxa"/>
              <w:left w:w="120" w:type="dxa"/>
              <w:bottom w:w="120" w:type="dxa"/>
              <w:right w:w="120" w:type="dxa"/>
            </w:tcMar>
            <w:vAlign w:val="top"/>
          </w:tcPr>
          <w:p w14:paraId="5F84BED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1.6</w:t>
            </w:r>
          </w:p>
        </w:tc>
        <w:tc>
          <w:tcPr>
            <w:tcW w:w="1605" w:type="dxa"/>
            <w:shd w:val="clear" w:color="auto" w:fill="auto"/>
            <w:tcMar>
              <w:top w:w="120" w:type="dxa"/>
              <w:left w:w="120" w:type="dxa"/>
              <w:bottom w:w="120" w:type="dxa"/>
              <w:right w:w="120" w:type="dxa"/>
            </w:tcMar>
            <w:vAlign w:val="top"/>
          </w:tcPr>
          <w:p w14:paraId="0B14B6C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安全保护性能</w:t>
            </w:r>
          </w:p>
        </w:tc>
        <w:tc>
          <w:tcPr>
            <w:tcW w:w="6675" w:type="dxa"/>
            <w:shd w:val="clear" w:color="auto" w:fill="auto"/>
            <w:tcMar>
              <w:top w:w="120" w:type="dxa"/>
              <w:left w:w="120" w:type="dxa"/>
              <w:bottom w:w="120" w:type="dxa"/>
              <w:right w:w="120" w:type="dxa"/>
            </w:tcMar>
            <w:vAlign w:val="top"/>
          </w:tcPr>
          <w:p w14:paraId="215280B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具备全流程自动联锁保护机制，可识别运行异常、参数超限、违规操作，即时报警并关停对应功能，保障人员、设备安全</w:t>
            </w:r>
          </w:p>
        </w:tc>
      </w:tr>
    </w:tbl>
    <w:p w14:paraId="6FCED5DF">
      <w:pPr>
        <w:pStyle w:val="7"/>
        <w:numPr>
          <w:ilvl w:val="0"/>
          <w:numId w:val="0"/>
        </w:numPr>
        <w:kinsoku w:val="0"/>
        <w:autoSpaceDE w:val="0"/>
        <w:autoSpaceDN w:val="0"/>
        <w:adjustRightInd w:val="0"/>
        <w:snapToGrid w:val="0"/>
        <w:spacing w:line="360" w:lineRule="auto"/>
        <w:textAlignment w:val="baseline"/>
        <w:rPr>
          <w:rFonts w:hint="eastAsia" w:ascii="宋体" w:hAnsi="宋体" w:eastAsia="宋体" w:cs="宋体"/>
          <w:color w:val="0000FF"/>
          <w:sz w:val="28"/>
          <w:szCs w:val="28"/>
          <w:lang w:val="en-US" w:eastAsia="zh-CN"/>
        </w:rPr>
      </w:pPr>
    </w:p>
    <w:p w14:paraId="21CAEEC6">
      <w:pPr>
        <w:keepNext w:val="0"/>
        <w:keepLines w:val="0"/>
        <w:widowControl/>
        <w:suppressLineNumbers w:val="0"/>
        <w:jc w:val="left"/>
        <w:rPr>
          <w:rFonts w:hint="eastAsia" w:ascii="宋体" w:hAnsi="宋体" w:eastAsia="宋体" w:cs="宋体"/>
          <w:snapToGrid w:val="0"/>
          <w:color w:val="000000"/>
          <w:kern w:val="0"/>
          <w:sz w:val="24"/>
          <w:szCs w:val="24"/>
          <w:lang w:val="en-US" w:eastAsia="zh-CN" w:bidi="ar"/>
        </w:rPr>
      </w:pPr>
    </w:p>
    <w:p w14:paraId="5724E0C7">
      <w:pPr>
        <w:keepNext w:val="0"/>
        <w:keepLines w:val="0"/>
        <w:widowControl/>
        <w:suppressLineNumbers w:val="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二、加热系统验收参数</w:t>
      </w:r>
    </w:p>
    <w:tbl>
      <w:tblPr>
        <w:tblStyle w:val="19"/>
        <w:tblW w:w="95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736"/>
        <w:gridCol w:w="1695"/>
        <w:gridCol w:w="7080"/>
      </w:tblGrid>
      <w:tr w14:paraId="7F421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blHeader/>
        </w:trPr>
        <w:tc>
          <w:tcPr>
            <w:tcW w:w="736" w:type="dxa"/>
            <w:shd w:val="clear" w:color="auto" w:fill="auto"/>
            <w:tcMar>
              <w:top w:w="120" w:type="dxa"/>
              <w:left w:w="120" w:type="dxa"/>
              <w:bottom w:w="120" w:type="dxa"/>
              <w:right w:w="120" w:type="dxa"/>
            </w:tcMar>
            <w:vAlign w:val="top"/>
          </w:tcPr>
          <w:p w14:paraId="23D5F13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序号</w:t>
            </w:r>
          </w:p>
        </w:tc>
        <w:tc>
          <w:tcPr>
            <w:tcW w:w="1695" w:type="dxa"/>
            <w:shd w:val="clear" w:color="auto" w:fill="auto"/>
            <w:tcMar>
              <w:top w:w="120" w:type="dxa"/>
              <w:left w:w="120" w:type="dxa"/>
              <w:bottom w:w="120" w:type="dxa"/>
              <w:right w:w="120" w:type="dxa"/>
            </w:tcMar>
            <w:vAlign w:val="top"/>
          </w:tcPr>
          <w:p w14:paraId="1EFC184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验收项目</w:t>
            </w:r>
          </w:p>
        </w:tc>
        <w:tc>
          <w:tcPr>
            <w:tcW w:w="7080" w:type="dxa"/>
            <w:shd w:val="clear" w:color="auto" w:fill="auto"/>
            <w:tcMar>
              <w:top w:w="120" w:type="dxa"/>
              <w:left w:w="120" w:type="dxa"/>
              <w:bottom w:w="120" w:type="dxa"/>
              <w:right w:w="120" w:type="dxa"/>
            </w:tcMar>
            <w:vAlign w:val="top"/>
          </w:tcPr>
          <w:p w14:paraId="6746AA0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技术参数指标</w:t>
            </w:r>
          </w:p>
        </w:tc>
      </w:tr>
      <w:tr w14:paraId="37A5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736" w:type="dxa"/>
            <w:shd w:val="clear" w:color="auto" w:fill="auto"/>
            <w:tcMar>
              <w:top w:w="120" w:type="dxa"/>
              <w:left w:w="120" w:type="dxa"/>
              <w:bottom w:w="120" w:type="dxa"/>
              <w:right w:w="120" w:type="dxa"/>
            </w:tcMar>
            <w:vAlign w:val="top"/>
          </w:tcPr>
          <w:p w14:paraId="2158439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2.1</w:t>
            </w:r>
          </w:p>
        </w:tc>
        <w:tc>
          <w:tcPr>
            <w:tcW w:w="1695" w:type="dxa"/>
            <w:shd w:val="clear" w:color="auto" w:fill="auto"/>
            <w:tcMar>
              <w:top w:w="120" w:type="dxa"/>
              <w:left w:w="120" w:type="dxa"/>
              <w:bottom w:w="120" w:type="dxa"/>
              <w:right w:w="120" w:type="dxa"/>
            </w:tcMar>
            <w:vAlign w:val="top"/>
          </w:tcPr>
          <w:p w14:paraId="2DB5DAB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结构设计参数</w:t>
            </w:r>
          </w:p>
        </w:tc>
        <w:tc>
          <w:tcPr>
            <w:tcW w:w="7080" w:type="dxa"/>
            <w:shd w:val="clear" w:color="auto" w:fill="auto"/>
            <w:tcMar>
              <w:top w:w="120" w:type="dxa"/>
              <w:left w:w="120" w:type="dxa"/>
              <w:bottom w:w="120" w:type="dxa"/>
              <w:right w:w="120" w:type="dxa"/>
            </w:tcMar>
            <w:vAlign w:val="top"/>
          </w:tcPr>
          <w:p w14:paraId="3E630F2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加热器结构：吊挂式设计，镍铬带发热体+陶瓷绝缘件，结构稳固耐高温</w:t>
            </w:r>
          </w:p>
          <w:p w14:paraId="6099288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保温结构：不锈钢框架+钼屏+硅酸铝复合保温，筒形环绕，升温均匀高效</w:t>
            </w:r>
          </w:p>
          <w:p w14:paraId="62A134D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防变形参数：加热带固定支柱间距≤170mm，杜绝冷热循环扭曲变形</w:t>
            </w:r>
          </w:p>
          <w:p w14:paraId="4E96C09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炉内构件：耐热不锈钢料架+陶瓷绝缘件，耐高温、绝缘性良好</w:t>
            </w:r>
          </w:p>
          <w:p w14:paraId="542D860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维护设计：加热室底部带滚轮，可整体抽拉，检修便捷</w:t>
            </w:r>
          </w:p>
        </w:tc>
      </w:tr>
      <w:tr w14:paraId="2A56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736" w:type="dxa"/>
            <w:shd w:val="clear" w:color="auto" w:fill="auto"/>
            <w:tcMar>
              <w:top w:w="120" w:type="dxa"/>
              <w:left w:w="120" w:type="dxa"/>
              <w:bottom w:w="120" w:type="dxa"/>
              <w:right w:w="120" w:type="dxa"/>
            </w:tcMar>
            <w:vAlign w:val="top"/>
          </w:tcPr>
          <w:p w14:paraId="1127240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2.2</w:t>
            </w:r>
          </w:p>
        </w:tc>
        <w:tc>
          <w:tcPr>
            <w:tcW w:w="1695" w:type="dxa"/>
            <w:shd w:val="clear" w:color="auto" w:fill="auto"/>
            <w:tcMar>
              <w:top w:w="120" w:type="dxa"/>
              <w:left w:w="120" w:type="dxa"/>
              <w:bottom w:w="120" w:type="dxa"/>
              <w:right w:w="120" w:type="dxa"/>
            </w:tcMar>
            <w:vAlign w:val="top"/>
          </w:tcPr>
          <w:p w14:paraId="2C4F0B6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测温系统参数</w:t>
            </w:r>
          </w:p>
        </w:tc>
        <w:tc>
          <w:tcPr>
            <w:tcW w:w="7080" w:type="dxa"/>
            <w:shd w:val="clear" w:color="auto" w:fill="auto"/>
            <w:tcMar>
              <w:top w:w="120" w:type="dxa"/>
              <w:left w:w="120" w:type="dxa"/>
              <w:bottom w:w="120" w:type="dxa"/>
              <w:right w:w="120" w:type="dxa"/>
            </w:tcMar>
            <w:vAlign w:val="top"/>
          </w:tcPr>
          <w:p w14:paraId="3677F8D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配置4支专用测温热电偶：3支用于精准控温，1支用于温度记录+超温报警，双重安全防护，测温精准、响应快速</w:t>
            </w:r>
          </w:p>
        </w:tc>
      </w:tr>
      <w:tr w14:paraId="5C62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736" w:type="dxa"/>
            <w:shd w:val="clear" w:color="auto" w:fill="auto"/>
            <w:tcMar>
              <w:top w:w="120" w:type="dxa"/>
              <w:left w:w="120" w:type="dxa"/>
              <w:bottom w:w="120" w:type="dxa"/>
              <w:right w:w="120" w:type="dxa"/>
            </w:tcMar>
            <w:vAlign w:val="top"/>
          </w:tcPr>
          <w:p w14:paraId="545DE97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2.3</w:t>
            </w:r>
          </w:p>
        </w:tc>
        <w:tc>
          <w:tcPr>
            <w:tcW w:w="1695" w:type="dxa"/>
            <w:shd w:val="clear" w:color="auto" w:fill="auto"/>
            <w:tcMar>
              <w:top w:w="120" w:type="dxa"/>
              <w:left w:w="120" w:type="dxa"/>
              <w:bottom w:w="120" w:type="dxa"/>
              <w:right w:w="120" w:type="dxa"/>
            </w:tcMar>
            <w:vAlign w:val="top"/>
          </w:tcPr>
          <w:p w14:paraId="3689D8E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水冷电极参数</w:t>
            </w:r>
          </w:p>
        </w:tc>
        <w:tc>
          <w:tcPr>
            <w:tcW w:w="7080" w:type="dxa"/>
            <w:shd w:val="clear" w:color="auto" w:fill="auto"/>
            <w:tcMar>
              <w:top w:w="120" w:type="dxa"/>
              <w:left w:w="120" w:type="dxa"/>
              <w:bottom w:w="120" w:type="dxa"/>
              <w:right w:w="120" w:type="dxa"/>
            </w:tcMar>
            <w:vAlign w:val="top"/>
          </w:tcPr>
          <w:p w14:paraId="548BC95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电极材质：定制紫铜水冷电极，导电、密封、绝缘性能优异</w:t>
            </w:r>
          </w:p>
          <w:p w14:paraId="6ABA88C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冷却性能：内置水循环结构，可降温护件，杜绝密封件烧毁，稳定炉内真空度</w:t>
            </w:r>
          </w:p>
          <w:p w14:paraId="7ACD4F8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装配特性：接触可靠、拆装便捷，适配长期工业运行与检修</w:t>
            </w:r>
          </w:p>
        </w:tc>
      </w:tr>
      <w:tr w14:paraId="49DD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736" w:type="dxa"/>
            <w:shd w:val="clear" w:color="auto" w:fill="auto"/>
            <w:tcMar>
              <w:top w:w="120" w:type="dxa"/>
              <w:left w:w="120" w:type="dxa"/>
              <w:bottom w:w="120" w:type="dxa"/>
              <w:right w:w="120" w:type="dxa"/>
            </w:tcMar>
            <w:vAlign w:val="top"/>
          </w:tcPr>
          <w:p w14:paraId="65C3590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2.4</w:t>
            </w:r>
          </w:p>
        </w:tc>
        <w:tc>
          <w:tcPr>
            <w:tcW w:w="1695" w:type="dxa"/>
            <w:shd w:val="clear" w:color="auto" w:fill="auto"/>
            <w:tcMar>
              <w:top w:w="120" w:type="dxa"/>
              <w:left w:w="120" w:type="dxa"/>
              <w:bottom w:w="120" w:type="dxa"/>
              <w:right w:w="120" w:type="dxa"/>
            </w:tcMar>
            <w:vAlign w:val="top"/>
          </w:tcPr>
          <w:p w14:paraId="4B8D68A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加热电源参数</w:t>
            </w:r>
          </w:p>
        </w:tc>
        <w:tc>
          <w:tcPr>
            <w:tcW w:w="7080" w:type="dxa"/>
            <w:shd w:val="clear" w:color="auto" w:fill="auto"/>
            <w:tcMar>
              <w:top w:w="120" w:type="dxa"/>
              <w:left w:w="120" w:type="dxa"/>
              <w:bottom w:w="120" w:type="dxa"/>
              <w:right w:w="120" w:type="dxa"/>
            </w:tcMar>
            <w:vAlign w:val="top"/>
          </w:tcPr>
          <w:p w14:paraId="72AAD50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1"/>
                <w:szCs w:val="21"/>
              </w:rPr>
            </w:pPr>
            <w:r>
              <w:rPr>
                <w:rFonts w:ascii="宋体" w:hAnsi="宋体" w:eastAsia="宋体" w:cs="宋体"/>
                <w:snapToGrid w:val="0"/>
                <w:color w:val="000000"/>
                <w:kern w:val="0"/>
                <w:sz w:val="21"/>
                <w:szCs w:val="21"/>
                <w:lang w:val="en-US" w:eastAsia="zh-CN" w:bidi="ar"/>
              </w:rPr>
              <w:t>采用工业可控硅加热电源，铜排导电结构，损耗低、输出稳定，可精准适配熔炼升温、恒温、降温全工艺功率调节，支持长时间连续作业</w:t>
            </w:r>
          </w:p>
        </w:tc>
      </w:tr>
    </w:tbl>
    <w:p w14:paraId="26CCE037">
      <w:pPr>
        <w:keepNext w:val="0"/>
        <w:keepLines w:val="0"/>
        <w:widowControl/>
        <w:numPr>
          <w:ilvl w:val="0"/>
          <w:numId w:val="0"/>
        </w:numPr>
        <w:suppressLineNumbers w:val="0"/>
        <w:jc w:val="left"/>
        <w:rPr>
          <w:rFonts w:hint="default" w:ascii="宋体" w:hAnsi="宋体" w:eastAsia="宋体" w:cs="宋体"/>
          <w:snapToGrid w:val="0"/>
          <w:color w:val="000000"/>
          <w:kern w:val="0"/>
          <w:sz w:val="24"/>
          <w:szCs w:val="24"/>
          <w:lang w:val="en-US" w:eastAsia="zh-CN" w:bidi="ar"/>
        </w:rPr>
      </w:pPr>
    </w:p>
    <w:p w14:paraId="25E44787">
      <w:pPr>
        <w:pStyle w:val="7"/>
        <w:numPr>
          <w:ilvl w:val="0"/>
          <w:numId w:val="0"/>
        </w:numPr>
        <w:kinsoku w:val="0"/>
        <w:autoSpaceDE w:val="0"/>
        <w:autoSpaceDN w:val="0"/>
        <w:adjustRightInd w:val="0"/>
        <w:snapToGrid w:val="0"/>
        <w:spacing w:line="360" w:lineRule="auto"/>
        <w:textAlignment w:val="baseline"/>
        <w:rPr>
          <w:rFonts w:hint="eastAsia" w:ascii="宋体" w:hAnsi="宋体" w:eastAsia="宋体" w:cs="宋体"/>
          <w:color w:val="0000FF"/>
        </w:rPr>
      </w:pPr>
      <w:r>
        <w:rPr>
          <w:rFonts w:hint="eastAsia" w:cs="宋体"/>
          <w:b/>
          <w:bCs/>
          <w:color w:val="auto"/>
          <w:lang w:val="en-US" w:eastAsia="zh-CN"/>
        </w:rPr>
        <w:t>标段二</w:t>
      </w:r>
      <w:r>
        <w:rPr>
          <w:rFonts w:hint="eastAsia" w:ascii="宋体" w:hAnsi="宋体" w:eastAsia="宋体" w:cs="宋体"/>
          <w:b/>
          <w:bCs/>
          <w:color w:val="auto"/>
          <w:lang w:val="en-US" w:eastAsia="zh-CN"/>
        </w:rPr>
        <w:t>：高真空多功能控型机电器控制配套系统</w:t>
      </w:r>
    </w:p>
    <w:p w14:paraId="0ABAD20B">
      <w:pPr>
        <w:keepNext w:val="0"/>
        <w:keepLines w:val="0"/>
        <w:widowControl/>
        <w:suppressLineNumbers w:val="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本标段属于：包工包料、包运输、包安装、包 13% 增值税专用发票包干工程</w:t>
      </w:r>
    </w:p>
    <w:p w14:paraId="25AB92C5">
      <w:pPr>
        <w:keepNext w:val="0"/>
        <w:keepLines w:val="0"/>
        <w:widowControl/>
        <w:suppressLineNumbers w:val="0"/>
        <w:jc w:val="left"/>
        <w:rPr>
          <w:rFonts w:hint="eastAsia" w:ascii="宋体" w:hAnsi="宋体" w:eastAsia="宋体" w:cs="宋体"/>
          <w:snapToGrid w:val="0"/>
          <w:color w:val="000000"/>
          <w:kern w:val="0"/>
          <w:sz w:val="24"/>
          <w:szCs w:val="24"/>
          <w:lang w:val="en-US" w:eastAsia="zh-CN" w:bidi="ar"/>
        </w:rPr>
      </w:pPr>
    </w:p>
    <w:tbl>
      <w:tblPr>
        <w:tblStyle w:val="19"/>
        <w:tblW w:w="500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17"/>
        <w:gridCol w:w="2068"/>
        <w:gridCol w:w="2752"/>
        <w:gridCol w:w="1273"/>
        <w:gridCol w:w="805"/>
        <w:gridCol w:w="746"/>
        <w:gridCol w:w="1384"/>
      </w:tblGrid>
      <w:tr w14:paraId="7E3D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367"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07313AE2">
            <w:pPr>
              <w:rPr>
                <w:rFonts w:hint="eastAsia"/>
              </w:rPr>
            </w:pPr>
            <w:r>
              <w:rPr>
                <w:lang w:bidi="ar"/>
              </w:rPr>
              <w:t>序号</w:t>
            </w:r>
          </w:p>
        </w:tc>
        <w:tc>
          <w:tcPr>
            <w:tcW w:w="106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06AC9DD0">
            <w:pPr>
              <w:rPr>
                <w:rFonts w:hint="eastAsia"/>
              </w:rPr>
            </w:pPr>
            <w:r>
              <w:rPr>
                <w:lang w:bidi="ar"/>
              </w:rPr>
              <w:t>系统类别</w:t>
            </w:r>
          </w:p>
        </w:tc>
        <w:tc>
          <w:tcPr>
            <w:tcW w:w="141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272EE066">
            <w:pPr>
              <w:rPr>
                <w:rFonts w:hint="eastAsia"/>
              </w:rPr>
            </w:pPr>
            <w:r>
              <w:rPr>
                <w:lang w:bidi="ar"/>
              </w:rPr>
              <w:t>设备 / 材料名称</w:t>
            </w:r>
          </w:p>
        </w:tc>
        <w:tc>
          <w:tcPr>
            <w:tcW w:w="65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4C63667F">
            <w:pPr>
              <w:rPr>
                <w:rFonts w:hint="eastAsia"/>
              </w:rPr>
            </w:pPr>
            <w:r>
              <w:rPr>
                <w:lang w:bidi="ar"/>
              </w:rPr>
              <w:t>规格型号</w:t>
            </w:r>
          </w:p>
        </w:tc>
        <w:tc>
          <w:tcPr>
            <w:tcW w:w="41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1C5FEDE1">
            <w:pPr>
              <w:rPr>
                <w:rFonts w:hint="eastAsia"/>
              </w:rPr>
            </w:pPr>
            <w:r>
              <w:rPr>
                <w:lang w:bidi="ar"/>
              </w:rPr>
              <w:t>单位</w:t>
            </w:r>
          </w:p>
        </w:tc>
        <w:tc>
          <w:tcPr>
            <w:tcW w:w="38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27359F1D">
            <w:pPr>
              <w:rPr>
                <w:rFonts w:hint="eastAsia"/>
              </w:rPr>
            </w:pPr>
            <w:r>
              <w:rPr>
                <w:lang w:bidi="ar"/>
              </w:rPr>
              <w:t>数量</w:t>
            </w:r>
          </w:p>
        </w:tc>
        <w:tc>
          <w:tcPr>
            <w:tcW w:w="71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4F25F539">
            <w:pPr>
              <w:rPr>
                <w:rFonts w:hint="eastAsia"/>
              </w:rPr>
            </w:pPr>
            <w:r>
              <w:rPr>
                <w:lang w:bidi="ar"/>
              </w:rPr>
              <w:t>备注</w:t>
            </w:r>
          </w:p>
        </w:tc>
      </w:tr>
      <w:tr w14:paraId="03D5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000000" w:sz="4" w:space="0"/>
              <w:left w:val="nil"/>
              <w:bottom w:val="single" w:color="auto" w:sz="4" w:space="0"/>
              <w:right w:val="nil"/>
            </w:tcBorders>
            <w:tcMar>
              <w:top w:w="120" w:type="dxa"/>
              <w:left w:w="120" w:type="dxa"/>
              <w:bottom w:w="120" w:type="dxa"/>
              <w:right w:w="120" w:type="dxa"/>
            </w:tcMar>
            <w:vAlign w:val="center"/>
          </w:tcPr>
          <w:p w14:paraId="16DD4178">
            <w:pPr>
              <w:rPr>
                <w:rFonts w:hint="eastAsia"/>
              </w:rPr>
            </w:pPr>
            <w:r>
              <w:rPr>
                <w:rStyle w:val="22"/>
                <w:rFonts w:ascii="宋体" w:hAnsi="宋体" w:eastAsia="宋体" w:cs="宋体"/>
                <w:bCs w:val="0"/>
                <w:sz w:val="24"/>
                <w:szCs w:val="24"/>
                <w:lang w:bidi="ar"/>
              </w:rPr>
              <w:t>一</w:t>
            </w:r>
          </w:p>
        </w:tc>
        <w:tc>
          <w:tcPr>
            <w:tcW w:w="4632" w:type="pct"/>
            <w:gridSpan w:val="6"/>
            <w:tcBorders>
              <w:top w:val="single" w:color="000000" w:sz="4" w:space="0"/>
              <w:left w:val="nil"/>
              <w:bottom w:val="single" w:color="auto" w:sz="4" w:space="0"/>
              <w:right w:val="nil"/>
            </w:tcBorders>
            <w:tcMar>
              <w:top w:w="120" w:type="dxa"/>
              <w:left w:w="120" w:type="dxa"/>
              <w:bottom w:w="120" w:type="dxa"/>
              <w:right w:w="120" w:type="dxa"/>
            </w:tcMar>
            <w:vAlign w:val="center"/>
          </w:tcPr>
          <w:p w14:paraId="41FF8D1C">
            <w:pPr>
              <w:rPr>
                <w:rFonts w:hint="eastAsia"/>
              </w:rPr>
            </w:pPr>
            <w:r>
              <w:rPr>
                <w:rStyle w:val="22"/>
                <w:rFonts w:hint="eastAsia" w:ascii="宋体" w:hAnsi="宋体" w:eastAsia="宋体" w:cs="宋体"/>
                <w:bCs w:val="0"/>
                <w:sz w:val="24"/>
                <w:szCs w:val="24"/>
                <w:lang w:bidi="ar"/>
              </w:rPr>
              <w:t>高压供电</w:t>
            </w:r>
            <w:r>
              <w:rPr>
                <w:rStyle w:val="22"/>
                <w:rFonts w:ascii="宋体" w:hAnsi="宋体" w:eastAsia="宋体" w:cs="宋体"/>
                <w:bCs w:val="0"/>
                <w:sz w:val="24"/>
                <w:szCs w:val="24"/>
                <w:lang w:bidi="ar"/>
              </w:rPr>
              <w:t>系统</w:t>
            </w:r>
          </w:p>
        </w:tc>
      </w:tr>
      <w:tr w14:paraId="3519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auto" w:sz="4" w:space="0"/>
            </w:tcBorders>
            <w:tcMar>
              <w:top w:w="120" w:type="dxa"/>
              <w:left w:w="120" w:type="dxa"/>
              <w:bottom w:w="120" w:type="dxa"/>
              <w:right w:w="120" w:type="dxa"/>
            </w:tcMar>
            <w:vAlign w:val="center"/>
          </w:tcPr>
          <w:p w14:paraId="28C80A20">
            <w:pPr>
              <w:rPr>
                <w:rFonts w:hint="eastAsia"/>
              </w:rPr>
            </w:pPr>
            <w:r>
              <w:rPr>
                <w:lang w:bidi="ar"/>
              </w:rPr>
              <w:t>1.1</w:t>
            </w:r>
          </w:p>
        </w:tc>
        <w:tc>
          <w:tcPr>
            <w:tcW w:w="1060" w:type="pct"/>
            <w:tcBorders>
              <w:top w:val="single" w:color="auto" w:sz="4" w:space="0"/>
            </w:tcBorders>
            <w:tcMar>
              <w:top w:w="120" w:type="dxa"/>
              <w:left w:w="120" w:type="dxa"/>
              <w:bottom w:w="120" w:type="dxa"/>
              <w:right w:w="120" w:type="dxa"/>
            </w:tcMar>
            <w:vAlign w:val="center"/>
          </w:tcPr>
          <w:p w14:paraId="1D392D64">
            <w:pPr>
              <w:rPr>
                <w:rFonts w:hint="eastAsia"/>
                <w:lang w:bidi="ar"/>
              </w:rPr>
            </w:pPr>
          </w:p>
        </w:tc>
        <w:tc>
          <w:tcPr>
            <w:tcW w:w="1412" w:type="pct"/>
            <w:tcBorders>
              <w:top w:val="single" w:color="auto" w:sz="4" w:space="0"/>
            </w:tcBorders>
            <w:tcMar>
              <w:top w:w="120" w:type="dxa"/>
              <w:left w:w="120" w:type="dxa"/>
              <w:bottom w:w="120" w:type="dxa"/>
              <w:right w:w="120" w:type="dxa"/>
            </w:tcMar>
            <w:vAlign w:val="center"/>
          </w:tcPr>
          <w:p w14:paraId="358F1EE9">
            <w:pPr>
              <w:rPr>
                <w:rFonts w:hint="eastAsia"/>
                <w:lang w:bidi="ar"/>
              </w:rPr>
            </w:pPr>
            <w:r>
              <w:rPr>
                <w:rFonts w:hint="eastAsia"/>
                <w:lang w:bidi="ar"/>
              </w:rPr>
              <w:t>高压成套配电柜</w:t>
            </w:r>
            <w:r>
              <w:rPr>
                <w:lang w:bidi="ar"/>
              </w:rPr>
              <w:t>附真空断路器柜</w:t>
            </w:r>
          </w:p>
        </w:tc>
        <w:tc>
          <w:tcPr>
            <w:tcW w:w="653" w:type="pct"/>
            <w:tcBorders>
              <w:top w:val="single" w:color="auto" w:sz="4" w:space="0"/>
            </w:tcBorders>
            <w:tcMar>
              <w:top w:w="120" w:type="dxa"/>
              <w:left w:w="120" w:type="dxa"/>
              <w:bottom w:w="120" w:type="dxa"/>
              <w:right w:w="120" w:type="dxa"/>
            </w:tcMar>
            <w:vAlign w:val="center"/>
          </w:tcPr>
          <w:p w14:paraId="4EA1925B">
            <w:pPr>
              <w:rPr>
                <w:rFonts w:hint="eastAsia"/>
              </w:rPr>
            </w:pPr>
            <w:r>
              <w:t>KYN28-12</w:t>
            </w:r>
          </w:p>
        </w:tc>
        <w:tc>
          <w:tcPr>
            <w:tcW w:w="413" w:type="pct"/>
            <w:tcBorders>
              <w:top w:val="single" w:color="auto" w:sz="4" w:space="0"/>
            </w:tcBorders>
            <w:tcMar>
              <w:top w:w="120" w:type="dxa"/>
              <w:left w:w="120" w:type="dxa"/>
              <w:bottom w:w="120" w:type="dxa"/>
              <w:right w:w="120" w:type="dxa"/>
            </w:tcMar>
            <w:vAlign w:val="center"/>
          </w:tcPr>
          <w:p w14:paraId="2778925D">
            <w:pPr>
              <w:rPr>
                <w:rFonts w:hint="eastAsia"/>
              </w:rPr>
            </w:pPr>
            <w:r>
              <w:rPr>
                <w:rFonts w:hint="eastAsia"/>
                <w:lang w:bidi="ar"/>
              </w:rPr>
              <w:t>台</w:t>
            </w:r>
          </w:p>
        </w:tc>
        <w:tc>
          <w:tcPr>
            <w:tcW w:w="382" w:type="pct"/>
            <w:tcBorders>
              <w:top w:val="single" w:color="auto" w:sz="4" w:space="0"/>
            </w:tcBorders>
            <w:tcMar>
              <w:top w:w="120" w:type="dxa"/>
              <w:left w:w="120" w:type="dxa"/>
              <w:bottom w:w="120" w:type="dxa"/>
              <w:right w:w="120" w:type="dxa"/>
            </w:tcMar>
            <w:vAlign w:val="center"/>
          </w:tcPr>
          <w:p w14:paraId="5793C370">
            <w:pPr>
              <w:rPr>
                <w:rFonts w:hint="eastAsia"/>
              </w:rPr>
            </w:pPr>
            <w:r>
              <w:rPr>
                <w:lang w:bidi="ar"/>
              </w:rPr>
              <w:t>1</w:t>
            </w:r>
          </w:p>
        </w:tc>
        <w:tc>
          <w:tcPr>
            <w:tcW w:w="710" w:type="pct"/>
            <w:tcBorders>
              <w:top w:val="single" w:color="auto" w:sz="4" w:space="0"/>
            </w:tcBorders>
            <w:tcMar>
              <w:top w:w="120" w:type="dxa"/>
              <w:left w:w="120" w:type="dxa"/>
              <w:bottom w:w="120" w:type="dxa"/>
              <w:right w:w="120" w:type="dxa"/>
            </w:tcMar>
            <w:vAlign w:val="center"/>
          </w:tcPr>
          <w:p w14:paraId="5ABD8EBB">
            <w:pPr>
              <w:rPr>
                <w:rFonts w:hint="eastAsia"/>
              </w:rPr>
            </w:pPr>
          </w:p>
        </w:tc>
      </w:tr>
      <w:tr w14:paraId="0DD2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Mar>
              <w:top w:w="120" w:type="dxa"/>
              <w:left w:w="120" w:type="dxa"/>
              <w:bottom w:w="120" w:type="dxa"/>
              <w:right w:w="120" w:type="dxa"/>
            </w:tcMar>
            <w:vAlign w:val="center"/>
          </w:tcPr>
          <w:p w14:paraId="2DE1B1EE">
            <w:pPr>
              <w:rPr>
                <w:rFonts w:hint="eastAsia"/>
              </w:rPr>
            </w:pPr>
            <w:r>
              <w:rPr>
                <w:lang w:bidi="ar"/>
              </w:rPr>
              <w:t>1.2</w:t>
            </w:r>
          </w:p>
        </w:tc>
        <w:tc>
          <w:tcPr>
            <w:tcW w:w="1060" w:type="pct"/>
            <w:tcMar>
              <w:top w:w="120" w:type="dxa"/>
              <w:left w:w="120" w:type="dxa"/>
              <w:bottom w:w="120" w:type="dxa"/>
              <w:right w:w="120" w:type="dxa"/>
            </w:tcMar>
            <w:vAlign w:val="center"/>
          </w:tcPr>
          <w:p w14:paraId="4673BC9F">
            <w:pPr>
              <w:rPr>
                <w:rFonts w:hint="eastAsia"/>
              </w:rPr>
            </w:pPr>
          </w:p>
        </w:tc>
        <w:tc>
          <w:tcPr>
            <w:tcW w:w="1412" w:type="pct"/>
            <w:tcMar>
              <w:top w:w="120" w:type="dxa"/>
              <w:left w:w="120" w:type="dxa"/>
              <w:bottom w:w="120" w:type="dxa"/>
              <w:right w:w="120" w:type="dxa"/>
            </w:tcMar>
            <w:vAlign w:val="center"/>
          </w:tcPr>
          <w:p w14:paraId="6117EC56">
            <w:pPr>
              <w:rPr>
                <w:rFonts w:hint="eastAsia"/>
              </w:rPr>
            </w:pPr>
            <w:r>
              <w:rPr>
                <w:rFonts w:hint="eastAsia"/>
                <w:lang w:bidi="ar"/>
              </w:rPr>
              <w:t>高压馈出柜</w:t>
            </w:r>
          </w:p>
        </w:tc>
        <w:tc>
          <w:tcPr>
            <w:tcW w:w="653" w:type="pct"/>
            <w:tcMar>
              <w:top w:w="120" w:type="dxa"/>
              <w:left w:w="120" w:type="dxa"/>
              <w:bottom w:w="120" w:type="dxa"/>
              <w:right w:w="120" w:type="dxa"/>
            </w:tcMar>
            <w:vAlign w:val="center"/>
          </w:tcPr>
          <w:p w14:paraId="6DD29181">
            <w:pPr>
              <w:rPr>
                <w:rFonts w:hint="eastAsia"/>
              </w:rPr>
            </w:pPr>
            <w:r>
              <w:t>KYN28-12</w:t>
            </w:r>
          </w:p>
        </w:tc>
        <w:tc>
          <w:tcPr>
            <w:tcW w:w="413" w:type="pct"/>
            <w:tcMar>
              <w:top w:w="120" w:type="dxa"/>
              <w:left w:w="120" w:type="dxa"/>
              <w:bottom w:w="120" w:type="dxa"/>
              <w:right w:w="120" w:type="dxa"/>
            </w:tcMar>
            <w:vAlign w:val="center"/>
          </w:tcPr>
          <w:p w14:paraId="42250224">
            <w:pPr>
              <w:rPr>
                <w:rFonts w:hint="eastAsia"/>
              </w:rPr>
            </w:pPr>
            <w:r>
              <w:rPr>
                <w:rFonts w:hint="eastAsia"/>
                <w:lang w:bidi="ar"/>
              </w:rPr>
              <w:t>台</w:t>
            </w:r>
          </w:p>
        </w:tc>
        <w:tc>
          <w:tcPr>
            <w:tcW w:w="382" w:type="pct"/>
            <w:tcMar>
              <w:top w:w="120" w:type="dxa"/>
              <w:left w:w="120" w:type="dxa"/>
              <w:bottom w:w="120" w:type="dxa"/>
              <w:right w:w="120" w:type="dxa"/>
            </w:tcMar>
            <w:vAlign w:val="center"/>
          </w:tcPr>
          <w:p w14:paraId="20CFF7B8">
            <w:pPr>
              <w:rPr>
                <w:rFonts w:hint="eastAsia"/>
              </w:rPr>
            </w:pPr>
            <w:r>
              <w:rPr>
                <w:lang w:bidi="ar"/>
              </w:rPr>
              <w:t>1</w:t>
            </w:r>
          </w:p>
        </w:tc>
        <w:tc>
          <w:tcPr>
            <w:tcW w:w="710" w:type="pct"/>
            <w:tcMar>
              <w:top w:w="120" w:type="dxa"/>
              <w:left w:w="120" w:type="dxa"/>
              <w:bottom w:w="120" w:type="dxa"/>
              <w:right w:w="120" w:type="dxa"/>
            </w:tcMar>
            <w:vAlign w:val="center"/>
          </w:tcPr>
          <w:p w14:paraId="655F231C">
            <w:pPr>
              <w:rPr>
                <w:rFonts w:hint="eastAsia"/>
              </w:rPr>
            </w:pPr>
          </w:p>
        </w:tc>
      </w:tr>
      <w:tr w14:paraId="1016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Mar>
              <w:top w:w="120" w:type="dxa"/>
              <w:left w:w="120" w:type="dxa"/>
              <w:bottom w:w="120" w:type="dxa"/>
              <w:right w:w="120" w:type="dxa"/>
            </w:tcMar>
            <w:vAlign w:val="center"/>
          </w:tcPr>
          <w:p w14:paraId="6DA0ACF1">
            <w:pPr>
              <w:rPr>
                <w:rFonts w:hint="eastAsia"/>
              </w:rPr>
            </w:pPr>
            <w:r>
              <w:rPr>
                <w:lang w:bidi="ar"/>
              </w:rPr>
              <w:t>1.3</w:t>
            </w:r>
          </w:p>
        </w:tc>
        <w:tc>
          <w:tcPr>
            <w:tcW w:w="1060" w:type="pct"/>
            <w:tcMar>
              <w:top w:w="120" w:type="dxa"/>
              <w:left w:w="120" w:type="dxa"/>
              <w:bottom w:w="120" w:type="dxa"/>
              <w:right w:w="120" w:type="dxa"/>
            </w:tcMar>
            <w:vAlign w:val="center"/>
          </w:tcPr>
          <w:p w14:paraId="48179DA6">
            <w:pPr>
              <w:rPr>
                <w:rFonts w:hint="eastAsia"/>
              </w:rPr>
            </w:pPr>
          </w:p>
        </w:tc>
        <w:tc>
          <w:tcPr>
            <w:tcW w:w="1412" w:type="pct"/>
            <w:tcMar>
              <w:top w:w="120" w:type="dxa"/>
              <w:left w:w="120" w:type="dxa"/>
              <w:bottom w:w="120" w:type="dxa"/>
              <w:right w:w="120" w:type="dxa"/>
            </w:tcMar>
            <w:vAlign w:val="center"/>
          </w:tcPr>
          <w:p w14:paraId="4D07CC22">
            <w:pPr>
              <w:rPr>
                <w:rFonts w:hint="eastAsia"/>
              </w:rPr>
            </w:pPr>
            <w:r>
              <w:rPr>
                <w:rFonts w:hint="eastAsia"/>
                <w:lang w:bidi="ar"/>
              </w:rPr>
              <w:t>高压电缆</w:t>
            </w:r>
          </w:p>
        </w:tc>
        <w:tc>
          <w:tcPr>
            <w:tcW w:w="653" w:type="pct"/>
            <w:tcMar>
              <w:top w:w="120" w:type="dxa"/>
              <w:left w:w="120" w:type="dxa"/>
              <w:bottom w:w="120" w:type="dxa"/>
              <w:right w:w="120" w:type="dxa"/>
            </w:tcMar>
            <w:vAlign w:val="center"/>
          </w:tcPr>
          <w:p w14:paraId="3F2F2498">
            <w:pPr>
              <w:rPr>
                <w:rFonts w:hint="eastAsia" w:ascii="宋体" w:hAnsi="宋体" w:eastAsia="宋体" w:cs="宋体"/>
                <w:snapToGrid/>
              </w:rPr>
            </w:pPr>
            <w:r>
              <w:rPr>
                <w:rFonts w:hint="eastAsia"/>
              </w:rPr>
              <w:t>ZR-YJV22-8.7/15-3*1</w:t>
            </w:r>
            <w:r>
              <w:t>20</w:t>
            </w:r>
          </w:p>
          <w:p w14:paraId="0E9BB8CF">
            <w:pPr>
              <w:rPr>
                <w:rFonts w:hint="eastAsia"/>
              </w:rPr>
            </w:pPr>
          </w:p>
        </w:tc>
        <w:tc>
          <w:tcPr>
            <w:tcW w:w="413" w:type="pct"/>
            <w:tcMar>
              <w:top w:w="120" w:type="dxa"/>
              <w:left w:w="120" w:type="dxa"/>
              <w:bottom w:w="120" w:type="dxa"/>
              <w:right w:w="120" w:type="dxa"/>
            </w:tcMar>
            <w:vAlign w:val="center"/>
          </w:tcPr>
          <w:p w14:paraId="070D8BA9">
            <w:pPr>
              <w:rPr>
                <w:rFonts w:hint="eastAsia"/>
              </w:rPr>
            </w:pPr>
            <w:r>
              <w:rPr>
                <w:rFonts w:hint="eastAsia"/>
              </w:rPr>
              <w:t>米</w:t>
            </w:r>
          </w:p>
        </w:tc>
        <w:tc>
          <w:tcPr>
            <w:tcW w:w="382" w:type="pct"/>
            <w:tcMar>
              <w:top w:w="120" w:type="dxa"/>
              <w:left w:w="120" w:type="dxa"/>
              <w:bottom w:w="120" w:type="dxa"/>
              <w:right w:w="120" w:type="dxa"/>
            </w:tcMar>
            <w:vAlign w:val="center"/>
          </w:tcPr>
          <w:p w14:paraId="2DB37730">
            <w:pPr>
              <w:rPr>
                <w:rFonts w:hint="eastAsia"/>
              </w:rPr>
            </w:pPr>
            <w:r>
              <w:rPr>
                <w:lang w:bidi="ar"/>
              </w:rPr>
              <w:t>3</w:t>
            </w:r>
            <w:r>
              <w:rPr>
                <w:rFonts w:hint="eastAsia"/>
                <w:lang w:bidi="ar"/>
              </w:rPr>
              <w:t>50</w:t>
            </w:r>
          </w:p>
        </w:tc>
        <w:tc>
          <w:tcPr>
            <w:tcW w:w="710" w:type="pct"/>
            <w:tcMar>
              <w:top w:w="120" w:type="dxa"/>
              <w:left w:w="120" w:type="dxa"/>
              <w:bottom w:w="120" w:type="dxa"/>
              <w:right w:w="120" w:type="dxa"/>
            </w:tcMar>
            <w:vAlign w:val="center"/>
          </w:tcPr>
          <w:p w14:paraId="58F02708">
            <w:pPr>
              <w:rPr>
                <w:rFonts w:hint="eastAsia"/>
              </w:rPr>
            </w:pPr>
          </w:p>
        </w:tc>
      </w:tr>
      <w:tr w14:paraId="656F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Mar>
              <w:top w:w="120" w:type="dxa"/>
              <w:left w:w="120" w:type="dxa"/>
              <w:bottom w:w="120" w:type="dxa"/>
              <w:right w:w="120" w:type="dxa"/>
            </w:tcMar>
            <w:vAlign w:val="center"/>
          </w:tcPr>
          <w:p w14:paraId="3FA4A937">
            <w:pPr>
              <w:rPr>
                <w:rFonts w:hint="eastAsia"/>
              </w:rPr>
            </w:pPr>
            <w:r>
              <w:rPr>
                <w:lang w:bidi="ar"/>
              </w:rPr>
              <w:t>1.4</w:t>
            </w:r>
          </w:p>
        </w:tc>
        <w:tc>
          <w:tcPr>
            <w:tcW w:w="1060" w:type="pct"/>
            <w:tcMar>
              <w:top w:w="120" w:type="dxa"/>
              <w:left w:w="120" w:type="dxa"/>
              <w:bottom w:w="120" w:type="dxa"/>
              <w:right w:w="120" w:type="dxa"/>
            </w:tcMar>
            <w:vAlign w:val="center"/>
          </w:tcPr>
          <w:p w14:paraId="2AFC6E6F">
            <w:pPr>
              <w:rPr>
                <w:rFonts w:hint="eastAsia"/>
              </w:rPr>
            </w:pPr>
          </w:p>
        </w:tc>
        <w:tc>
          <w:tcPr>
            <w:tcW w:w="1412" w:type="pct"/>
            <w:tcMar>
              <w:top w:w="120" w:type="dxa"/>
              <w:left w:w="120" w:type="dxa"/>
              <w:bottom w:w="120" w:type="dxa"/>
              <w:right w:w="120" w:type="dxa"/>
            </w:tcMar>
            <w:vAlign w:val="center"/>
          </w:tcPr>
          <w:p w14:paraId="31256ECB">
            <w:pPr>
              <w:rPr>
                <w:rFonts w:hint="eastAsia"/>
              </w:rPr>
            </w:pPr>
            <w:r>
              <w:rPr>
                <w:rFonts w:hint="eastAsia"/>
                <w:lang w:bidi="ar"/>
              </w:rPr>
              <w:t>高压电缆头</w:t>
            </w:r>
          </w:p>
        </w:tc>
        <w:tc>
          <w:tcPr>
            <w:tcW w:w="653" w:type="pct"/>
            <w:tcMar>
              <w:top w:w="120" w:type="dxa"/>
              <w:left w:w="120" w:type="dxa"/>
              <w:bottom w:w="120" w:type="dxa"/>
              <w:right w:w="120" w:type="dxa"/>
            </w:tcMar>
            <w:vAlign w:val="center"/>
          </w:tcPr>
          <w:p w14:paraId="04182CC1">
            <w:pPr>
              <w:rPr>
                <w:rFonts w:hint="eastAsia"/>
              </w:rPr>
            </w:pPr>
          </w:p>
        </w:tc>
        <w:tc>
          <w:tcPr>
            <w:tcW w:w="413" w:type="pct"/>
            <w:tcMar>
              <w:top w:w="120" w:type="dxa"/>
              <w:left w:w="120" w:type="dxa"/>
              <w:bottom w:w="120" w:type="dxa"/>
              <w:right w:w="120" w:type="dxa"/>
            </w:tcMar>
            <w:vAlign w:val="center"/>
          </w:tcPr>
          <w:p w14:paraId="2E7994C6">
            <w:pPr>
              <w:rPr>
                <w:rFonts w:hint="eastAsia"/>
              </w:rPr>
            </w:pPr>
            <w:r>
              <w:rPr>
                <w:lang w:bidi="ar"/>
              </w:rPr>
              <w:t>套</w:t>
            </w:r>
          </w:p>
        </w:tc>
        <w:tc>
          <w:tcPr>
            <w:tcW w:w="382" w:type="pct"/>
            <w:tcMar>
              <w:top w:w="120" w:type="dxa"/>
              <w:left w:w="120" w:type="dxa"/>
              <w:bottom w:w="120" w:type="dxa"/>
              <w:right w:w="120" w:type="dxa"/>
            </w:tcMar>
            <w:vAlign w:val="center"/>
          </w:tcPr>
          <w:p w14:paraId="094D2D4D">
            <w:pPr>
              <w:rPr>
                <w:rFonts w:hint="eastAsia"/>
              </w:rPr>
            </w:pPr>
            <w:r>
              <w:rPr>
                <w:lang w:bidi="ar"/>
              </w:rPr>
              <w:t>2</w:t>
            </w:r>
          </w:p>
        </w:tc>
        <w:tc>
          <w:tcPr>
            <w:tcW w:w="710" w:type="pct"/>
            <w:tcMar>
              <w:top w:w="120" w:type="dxa"/>
              <w:left w:w="120" w:type="dxa"/>
              <w:bottom w:w="120" w:type="dxa"/>
              <w:right w:w="120" w:type="dxa"/>
            </w:tcMar>
            <w:vAlign w:val="center"/>
          </w:tcPr>
          <w:p w14:paraId="70CF8D61">
            <w:pPr>
              <w:rPr>
                <w:rFonts w:hint="eastAsia"/>
              </w:rPr>
            </w:pPr>
          </w:p>
        </w:tc>
      </w:tr>
      <w:tr w14:paraId="4753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bottom w:val="single" w:color="auto" w:sz="4" w:space="0"/>
            </w:tcBorders>
            <w:tcMar>
              <w:top w:w="120" w:type="dxa"/>
              <w:left w:w="120" w:type="dxa"/>
              <w:bottom w:w="120" w:type="dxa"/>
              <w:right w:w="120" w:type="dxa"/>
            </w:tcMar>
            <w:vAlign w:val="center"/>
          </w:tcPr>
          <w:p w14:paraId="0A69877A">
            <w:pPr>
              <w:rPr>
                <w:rFonts w:hint="eastAsia"/>
              </w:rPr>
            </w:pPr>
            <w:r>
              <w:rPr>
                <w:lang w:bidi="ar"/>
              </w:rPr>
              <w:t>1.5</w:t>
            </w:r>
          </w:p>
        </w:tc>
        <w:tc>
          <w:tcPr>
            <w:tcW w:w="1060" w:type="pct"/>
            <w:tcBorders>
              <w:bottom w:val="single" w:color="auto" w:sz="4" w:space="0"/>
            </w:tcBorders>
            <w:tcMar>
              <w:top w:w="120" w:type="dxa"/>
              <w:left w:w="120" w:type="dxa"/>
              <w:bottom w:w="120" w:type="dxa"/>
              <w:right w:w="120" w:type="dxa"/>
            </w:tcMar>
            <w:vAlign w:val="center"/>
          </w:tcPr>
          <w:p w14:paraId="0D7EFB30">
            <w:pPr>
              <w:rPr>
                <w:rFonts w:hint="eastAsia"/>
              </w:rPr>
            </w:pPr>
          </w:p>
        </w:tc>
        <w:tc>
          <w:tcPr>
            <w:tcW w:w="1412" w:type="pct"/>
            <w:tcBorders>
              <w:bottom w:val="single" w:color="auto" w:sz="4" w:space="0"/>
            </w:tcBorders>
            <w:tcMar>
              <w:top w:w="120" w:type="dxa"/>
              <w:left w:w="120" w:type="dxa"/>
              <w:bottom w:w="120" w:type="dxa"/>
              <w:right w:w="120" w:type="dxa"/>
            </w:tcMar>
            <w:vAlign w:val="center"/>
          </w:tcPr>
          <w:p w14:paraId="5B7705D3">
            <w:pPr>
              <w:rPr>
                <w:rFonts w:hint="eastAsia"/>
              </w:rPr>
            </w:pPr>
            <w:r>
              <w:rPr>
                <w:rFonts w:hint="eastAsia"/>
                <w:lang w:bidi="ar"/>
              </w:rPr>
              <w:t>防火桥架</w:t>
            </w:r>
          </w:p>
        </w:tc>
        <w:tc>
          <w:tcPr>
            <w:tcW w:w="653" w:type="pct"/>
            <w:tcBorders>
              <w:bottom w:val="single" w:color="auto" w:sz="4" w:space="0"/>
            </w:tcBorders>
            <w:tcMar>
              <w:top w:w="120" w:type="dxa"/>
              <w:left w:w="120" w:type="dxa"/>
              <w:bottom w:w="120" w:type="dxa"/>
              <w:right w:w="120" w:type="dxa"/>
            </w:tcMar>
            <w:vAlign w:val="center"/>
          </w:tcPr>
          <w:p w14:paraId="002761FF">
            <w:pPr>
              <w:rPr>
                <w:rFonts w:hint="eastAsia"/>
              </w:rPr>
            </w:pPr>
            <w:r>
              <w:rPr>
                <w:lang w:bidi="ar"/>
              </w:rPr>
              <w:t>150</w:t>
            </w:r>
            <w:r>
              <w:rPr>
                <w:rFonts w:hint="eastAsia"/>
                <w:lang w:bidi="ar"/>
              </w:rPr>
              <w:t>x150</w:t>
            </w:r>
          </w:p>
        </w:tc>
        <w:tc>
          <w:tcPr>
            <w:tcW w:w="413" w:type="pct"/>
            <w:tcBorders>
              <w:bottom w:val="single" w:color="auto" w:sz="4" w:space="0"/>
            </w:tcBorders>
            <w:tcMar>
              <w:top w:w="120" w:type="dxa"/>
              <w:left w:w="120" w:type="dxa"/>
              <w:bottom w:w="120" w:type="dxa"/>
              <w:right w:w="120" w:type="dxa"/>
            </w:tcMar>
            <w:vAlign w:val="center"/>
          </w:tcPr>
          <w:p w14:paraId="01E72E29">
            <w:pPr>
              <w:rPr>
                <w:rFonts w:hint="eastAsia"/>
              </w:rPr>
            </w:pPr>
            <w:r>
              <w:rPr>
                <w:rFonts w:hint="eastAsia"/>
              </w:rPr>
              <w:t>米</w:t>
            </w:r>
          </w:p>
        </w:tc>
        <w:tc>
          <w:tcPr>
            <w:tcW w:w="382" w:type="pct"/>
            <w:tcBorders>
              <w:bottom w:val="single" w:color="auto" w:sz="4" w:space="0"/>
            </w:tcBorders>
            <w:tcMar>
              <w:top w:w="120" w:type="dxa"/>
              <w:left w:w="120" w:type="dxa"/>
              <w:bottom w:w="120" w:type="dxa"/>
              <w:right w:w="120" w:type="dxa"/>
            </w:tcMar>
            <w:vAlign w:val="center"/>
          </w:tcPr>
          <w:p w14:paraId="1CE2890E">
            <w:pPr>
              <w:rPr>
                <w:rFonts w:hint="eastAsia"/>
              </w:rPr>
            </w:pPr>
            <w:r>
              <w:rPr>
                <w:lang w:bidi="ar"/>
              </w:rPr>
              <w:t>40</w:t>
            </w:r>
          </w:p>
        </w:tc>
        <w:tc>
          <w:tcPr>
            <w:tcW w:w="710" w:type="pct"/>
            <w:tcBorders>
              <w:bottom w:val="single" w:color="auto" w:sz="4" w:space="0"/>
            </w:tcBorders>
            <w:tcMar>
              <w:top w:w="120" w:type="dxa"/>
              <w:left w:w="120" w:type="dxa"/>
              <w:bottom w:w="120" w:type="dxa"/>
              <w:right w:w="120" w:type="dxa"/>
            </w:tcMar>
            <w:vAlign w:val="center"/>
          </w:tcPr>
          <w:p w14:paraId="39B09BBE">
            <w:pPr>
              <w:rPr>
                <w:rFonts w:hint="eastAsia"/>
              </w:rPr>
            </w:pPr>
          </w:p>
        </w:tc>
      </w:tr>
      <w:tr w14:paraId="13BE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auto" w:sz="4" w:space="0"/>
              <w:left w:val="nil"/>
              <w:bottom w:val="single" w:color="auto" w:sz="4" w:space="0"/>
              <w:right w:val="nil"/>
            </w:tcBorders>
            <w:tcMar>
              <w:top w:w="120" w:type="dxa"/>
              <w:left w:w="120" w:type="dxa"/>
              <w:bottom w:w="120" w:type="dxa"/>
              <w:right w:w="120" w:type="dxa"/>
            </w:tcMar>
            <w:vAlign w:val="center"/>
          </w:tcPr>
          <w:p w14:paraId="6B8B7E7A">
            <w:pPr>
              <w:rPr>
                <w:rFonts w:hint="eastAsia"/>
              </w:rPr>
            </w:pPr>
            <w:r>
              <w:rPr>
                <w:rStyle w:val="22"/>
                <w:rFonts w:ascii="宋体" w:hAnsi="宋体" w:eastAsia="宋体" w:cs="宋体"/>
                <w:bCs w:val="0"/>
                <w:sz w:val="24"/>
                <w:szCs w:val="24"/>
                <w:lang w:bidi="ar"/>
              </w:rPr>
              <w:t>二</w:t>
            </w:r>
          </w:p>
        </w:tc>
        <w:tc>
          <w:tcPr>
            <w:tcW w:w="4632" w:type="pct"/>
            <w:gridSpan w:val="6"/>
            <w:tcBorders>
              <w:top w:val="single" w:color="auto" w:sz="4" w:space="0"/>
              <w:left w:val="nil"/>
              <w:bottom w:val="single" w:color="auto" w:sz="4" w:space="0"/>
              <w:right w:val="nil"/>
            </w:tcBorders>
            <w:tcMar>
              <w:top w:w="120" w:type="dxa"/>
              <w:left w:w="120" w:type="dxa"/>
              <w:bottom w:w="120" w:type="dxa"/>
              <w:right w:w="120" w:type="dxa"/>
            </w:tcMar>
            <w:vAlign w:val="center"/>
          </w:tcPr>
          <w:p w14:paraId="48F25548">
            <w:pPr>
              <w:rPr>
                <w:rFonts w:hint="eastAsia"/>
              </w:rPr>
            </w:pPr>
            <w:r>
              <w:rPr>
                <w:rStyle w:val="22"/>
                <w:rFonts w:ascii="宋体" w:hAnsi="宋体" w:eastAsia="宋体" w:cs="宋体"/>
                <w:bCs w:val="0"/>
                <w:sz w:val="24"/>
                <w:szCs w:val="24"/>
                <w:lang w:bidi="ar"/>
              </w:rPr>
              <w:t>三相五线密集式铜母线槽系统</w:t>
            </w:r>
          </w:p>
        </w:tc>
      </w:tr>
      <w:tr w14:paraId="5B76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auto" w:sz="4" w:space="0"/>
            </w:tcBorders>
            <w:tcMar>
              <w:top w:w="120" w:type="dxa"/>
              <w:left w:w="120" w:type="dxa"/>
              <w:bottom w:w="120" w:type="dxa"/>
              <w:right w:w="120" w:type="dxa"/>
            </w:tcMar>
            <w:vAlign w:val="center"/>
          </w:tcPr>
          <w:p w14:paraId="0EE71D7A">
            <w:pPr>
              <w:rPr>
                <w:rFonts w:hint="eastAsia"/>
              </w:rPr>
            </w:pPr>
            <w:bookmarkStart w:id="130" w:name="_Hlk238044366"/>
            <w:r>
              <w:rPr>
                <w:lang w:bidi="ar"/>
              </w:rPr>
              <w:t>2.1</w:t>
            </w:r>
          </w:p>
        </w:tc>
        <w:tc>
          <w:tcPr>
            <w:tcW w:w="1060" w:type="pct"/>
            <w:tcBorders>
              <w:top w:val="single" w:color="auto" w:sz="4" w:space="0"/>
            </w:tcBorders>
            <w:tcMar>
              <w:top w:w="120" w:type="dxa"/>
              <w:left w:w="120" w:type="dxa"/>
              <w:bottom w:w="120" w:type="dxa"/>
              <w:right w:w="120" w:type="dxa"/>
            </w:tcMar>
            <w:vAlign w:val="center"/>
          </w:tcPr>
          <w:p w14:paraId="53628312">
            <w:pPr>
              <w:rPr>
                <w:rFonts w:hint="eastAsia"/>
              </w:rPr>
            </w:pPr>
          </w:p>
        </w:tc>
        <w:tc>
          <w:tcPr>
            <w:tcW w:w="1412" w:type="pct"/>
            <w:tcBorders>
              <w:top w:val="single" w:color="auto" w:sz="4" w:space="0"/>
            </w:tcBorders>
            <w:tcMar>
              <w:top w:w="120" w:type="dxa"/>
              <w:left w:w="120" w:type="dxa"/>
              <w:bottom w:w="120" w:type="dxa"/>
              <w:right w:w="120" w:type="dxa"/>
            </w:tcMar>
            <w:vAlign w:val="center"/>
          </w:tcPr>
          <w:p w14:paraId="054B3AC2">
            <w:pPr>
              <w:rPr>
                <w:rFonts w:hint="eastAsia"/>
              </w:rPr>
            </w:pPr>
            <w:r>
              <w:rPr>
                <w:lang w:bidi="ar"/>
              </w:rPr>
              <w:t>三相五线密集式铜母线线槽</w:t>
            </w:r>
          </w:p>
        </w:tc>
        <w:tc>
          <w:tcPr>
            <w:tcW w:w="653" w:type="pct"/>
            <w:tcBorders>
              <w:top w:val="single" w:color="auto" w:sz="4" w:space="0"/>
            </w:tcBorders>
            <w:tcMar>
              <w:top w:w="120" w:type="dxa"/>
              <w:left w:w="120" w:type="dxa"/>
              <w:bottom w:w="120" w:type="dxa"/>
              <w:right w:w="120" w:type="dxa"/>
            </w:tcMar>
            <w:vAlign w:val="center"/>
          </w:tcPr>
          <w:p w14:paraId="3219E990">
            <w:pPr>
              <w:rPr>
                <w:rFonts w:hint="eastAsia"/>
              </w:rPr>
            </w:pPr>
            <w:r>
              <w:rPr>
                <w:lang w:bidi="ar"/>
              </w:rPr>
              <w:t>2500A，4m / 段</w:t>
            </w:r>
          </w:p>
        </w:tc>
        <w:tc>
          <w:tcPr>
            <w:tcW w:w="413" w:type="pct"/>
            <w:tcBorders>
              <w:top w:val="single" w:color="auto" w:sz="4" w:space="0"/>
            </w:tcBorders>
            <w:tcMar>
              <w:top w:w="120" w:type="dxa"/>
              <w:left w:w="120" w:type="dxa"/>
              <w:bottom w:w="120" w:type="dxa"/>
              <w:right w:w="120" w:type="dxa"/>
            </w:tcMar>
            <w:vAlign w:val="center"/>
          </w:tcPr>
          <w:p w14:paraId="2721FEEC">
            <w:pPr>
              <w:rPr>
                <w:rFonts w:hint="eastAsia"/>
              </w:rPr>
            </w:pPr>
            <w:r>
              <w:rPr>
                <w:lang w:bidi="ar"/>
              </w:rPr>
              <w:t>米</w:t>
            </w:r>
          </w:p>
        </w:tc>
        <w:tc>
          <w:tcPr>
            <w:tcW w:w="382" w:type="pct"/>
            <w:tcBorders>
              <w:top w:val="single" w:color="auto" w:sz="4" w:space="0"/>
            </w:tcBorders>
            <w:tcMar>
              <w:top w:w="120" w:type="dxa"/>
              <w:left w:w="120" w:type="dxa"/>
              <w:bottom w:w="120" w:type="dxa"/>
              <w:right w:w="120" w:type="dxa"/>
            </w:tcMar>
            <w:vAlign w:val="center"/>
          </w:tcPr>
          <w:p w14:paraId="5E3D73C2">
            <w:pPr>
              <w:rPr>
                <w:rFonts w:hint="eastAsia"/>
              </w:rPr>
            </w:pPr>
            <w:r>
              <w:rPr>
                <w:lang w:bidi="ar"/>
              </w:rPr>
              <w:t>1</w:t>
            </w:r>
            <w:r>
              <w:rPr>
                <w:rFonts w:hint="eastAsia"/>
                <w:lang w:bidi="ar"/>
              </w:rPr>
              <w:t>5</w:t>
            </w:r>
          </w:p>
        </w:tc>
        <w:tc>
          <w:tcPr>
            <w:tcW w:w="710" w:type="pct"/>
            <w:tcBorders>
              <w:top w:val="single" w:color="auto" w:sz="4" w:space="0"/>
            </w:tcBorders>
            <w:tcMar>
              <w:top w:w="120" w:type="dxa"/>
              <w:left w:w="120" w:type="dxa"/>
              <w:bottom w:w="120" w:type="dxa"/>
              <w:right w:w="120" w:type="dxa"/>
            </w:tcMar>
            <w:vAlign w:val="center"/>
          </w:tcPr>
          <w:p w14:paraId="768EB303">
            <w:pPr>
              <w:rPr>
                <w:rFonts w:hint="eastAsia"/>
              </w:rPr>
            </w:pPr>
          </w:p>
        </w:tc>
      </w:tr>
      <w:tr w14:paraId="1DFB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Mar>
              <w:top w:w="120" w:type="dxa"/>
              <w:left w:w="120" w:type="dxa"/>
              <w:bottom w:w="120" w:type="dxa"/>
              <w:right w:w="120" w:type="dxa"/>
            </w:tcMar>
            <w:vAlign w:val="center"/>
          </w:tcPr>
          <w:p w14:paraId="6B977D0E">
            <w:pPr>
              <w:rPr>
                <w:rFonts w:hint="eastAsia"/>
              </w:rPr>
            </w:pPr>
            <w:r>
              <w:rPr>
                <w:lang w:bidi="ar"/>
              </w:rPr>
              <w:t>2.2</w:t>
            </w:r>
          </w:p>
        </w:tc>
        <w:tc>
          <w:tcPr>
            <w:tcW w:w="1060" w:type="pct"/>
            <w:tcMar>
              <w:top w:w="120" w:type="dxa"/>
              <w:left w:w="120" w:type="dxa"/>
              <w:bottom w:w="120" w:type="dxa"/>
              <w:right w:w="120" w:type="dxa"/>
            </w:tcMar>
            <w:vAlign w:val="center"/>
          </w:tcPr>
          <w:p w14:paraId="2DA5831D">
            <w:pPr>
              <w:rPr>
                <w:rFonts w:hint="eastAsia"/>
              </w:rPr>
            </w:pPr>
          </w:p>
        </w:tc>
        <w:tc>
          <w:tcPr>
            <w:tcW w:w="1412" w:type="pct"/>
            <w:tcMar>
              <w:top w:w="120" w:type="dxa"/>
              <w:left w:w="120" w:type="dxa"/>
              <w:bottom w:w="120" w:type="dxa"/>
              <w:right w:w="120" w:type="dxa"/>
            </w:tcMar>
            <w:vAlign w:val="center"/>
          </w:tcPr>
          <w:p w14:paraId="41A3C148">
            <w:pPr>
              <w:rPr>
                <w:rFonts w:hint="eastAsia"/>
              </w:rPr>
            </w:pPr>
            <w:r>
              <w:rPr>
                <w:lang w:bidi="ar"/>
              </w:rPr>
              <w:t>母线弯通加工件</w:t>
            </w:r>
          </w:p>
        </w:tc>
        <w:tc>
          <w:tcPr>
            <w:tcW w:w="653" w:type="pct"/>
            <w:tcMar>
              <w:top w:w="120" w:type="dxa"/>
              <w:left w:w="120" w:type="dxa"/>
              <w:bottom w:w="120" w:type="dxa"/>
              <w:right w:w="120" w:type="dxa"/>
            </w:tcMar>
            <w:vAlign w:val="center"/>
          </w:tcPr>
          <w:p w14:paraId="423AC784">
            <w:pPr>
              <w:rPr>
                <w:rFonts w:hint="eastAsia"/>
              </w:rPr>
            </w:pPr>
            <w:r>
              <w:rPr>
                <w:lang w:bidi="ar"/>
              </w:rPr>
              <w:t>2500A</w:t>
            </w:r>
          </w:p>
        </w:tc>
        <w:tc>
          <w:tcPr>
            <w:tcW w:w="413" w:type="pct"/>
            <w:tcMar>
              <w:top w:w="120" w:type="dxa"/>
              <w:left w:w="120" w:type="dxa"/>
              <w:bottom w:w="120" w:type="dxa"/>
              <w:right w:w="120" w:type="dxa"/>
            </w:tcMar>
            <w:vAlign w:val="center"/>
          </w:tcPr>
          <w:p w14:paraId="6404DD0E">
            <w:pPr>
              <w:rPr>
                <w:rFonts w:hint="eastAsia"/>
              </w:rPr>
            </w:pPr>
            <w:r>
              <w:rPr>
                <w:lang w:bidi="ar"/>
              </w:rPr>
              <w:t>只</w:t>
            </w:r>
          </w:p>
        </w:tc>
        <w:tc>
          <w:tcPr>
            <w:tcW w:w="382" w:type="pct"/>
            <w:tcMar>
              <w:top w:w="120" w:type="dxa"/>
              <w:left w:w="120" w:type="dxa"/>
              <w:bottom w:w="120" w:type="dxa"/>
              <w:right w:w="120" w:type="dxa"/>
            </w:tcMar>
            <w:vAlign w:val="center"/>
          </w:tcPr>
          <w:p w14:paraId="29A15494">
            <w:pPr>
              <w:rPr>
                <w:rFonts w:hint="eastAsia"/>
              </w:rPr>
            </w:pPr>
            <w:r>
              <w:rPr>
                <w:lang w:bidi="ar"/>
              </w:rPr>
              <w:t>13</w:t>
            </w:r>
          </w:p>
        </w:tc>
        <w:tc>
          <w:tcPr>
            <w:tcW w:w="710" w:type="pct"/>
            <w:tcMar>
              <w:top w:w="120" w:type="dxa"/>
              <w:left w:w="120" w:type="dxa"/>
              <w:bottom w:w="120" w:type="dxa"/>
              <w:right w:w="120" w:type="dxa"/>
            </w:tcMar>
            <w:vAlign w:val="center"/>
          </w:tcPr>
          <w:p w14:paraId="2D367A39">
            <w:pPr>
              <w:rPr>
                <w:rFonts w:hint="eastAsia"/>
              </w:rPr>
            </w:pPr>
          </w:p>
        </w:tc>
      </w:tr>
      <w:tr w14:paraId="5C5C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Mar>
              <w:top w:w="120" w:type="dxa"/>
              <w:left w:w="120" w:type="dxa"/>
              <w:bottom w:w="120" w:type="dxa"/>
              <w:right w:w="120" w:type="dxa"/>
            </w:tcMar>
            <w:vAlign w:val="center"/>
          </w:tcPr>
          <w:p w14:paraId="5A8EA1F0">
            <w:pPr>
              <w:rPr>
                <w:rFonts w:hint="eastAsia"/>
              </w:rPr>
            </w:pPr>
            <w:r>
              <w:rPr>
                <w:lang w:bidi="ar"/>
              </w:rPr>
              <w:t>2.3</w:t>
            </w:r>
          </w:p>
        </w:tc>
        <w:tc>
          <w:tcPr>
            <w:tcW w:w="1060" w:type="pct"/>
            <w:tcMar>
              <w:top w:w="120" w:type="dxa"/>
              <w:left w:w="120" w:type="dxa"/>
              <w:bottom w:w="120" w:type="dxa"/>
              <w:right w:w="120" w:type="dxa"/>
            </w:tcMar>
            <w:vAlign w:val="center"/>
          </w:tcPr>
          <w:p w14:paraId="2CE75E96">
            <w:pPr>
              <w:rPr>
                <w:rFonts w:hint="eastAsia"/>
              </w:rPr>
            </w:pPr>
          </w:p>
        </w:tc>
        <w:tc>
          <w:tcPr>
            <w:tcW w:w="1412" w:type="pct"/>
            <w:tcMar>
              <w:top w:w="120" w:type="dxa"/>
              <w:left w:w="120" w:type="dxa"/>
              <w:bottom w:w="120" w:type="dxa"/>
              <w:right w:w="120" w:type="dxa"/>
            </w:tcMar>
            <w:vAlign w:val="center"/>
          </w:tcPr>
          <w:p w14:paraId="432477A2">
            <w:pPr>
              <w:rPr>
                <w:rFonts w:hint="eastAsia"/>
              </w:rPr>
            </w:pPr>
            <w:r>
              <w:rPr>
                <w:lang w:bidi="ar"/>
              </w:rPr>
              <w:t>配套接头器</w:t>
            </w:r>
          </w:p>
        </w:tc>
        <w:tc>
          <w:tcPr>
            <w:tcW w:w="653" w:type="pct"/>
            <w:tcMar>
              <w:top w:w="120" w:type="dxa"/>
              <w:left w:w="120" w:type="dxa"/>
              <w:bottom w:w="120" w:type="dxa"/>
              <w:right w:w="120" w:type="dxa"/>
            </w:tcMar>
            <w:vAlign w:val="center"/>
          </w:tcPr>
          <w:p w14:paraId="690E6534">
            <w:pPr>
              <w:rPr>
                <w:rFonts w:hint="eastAsia"/>
              </w:rPr>
            </w:pPr>
            <w:r>
              <w:rPr>
                <w:lang w:bidi="ar"/>
              </w:rPr>
              <w:t>2500A</w:t>
            </w:r>
          </w:p>
        </w:tc>
        <w:tc>
          <w:tcPr>
            <w:tcW w:w="413" w:type="pct"/>
            <w:tcMar>
              <w:top w:w="120" w:type="dxa"/>
              <w:left w:w="120" w:type="dxa"/>
              <w:bottom w:w="120" w:type="dxa"/>
              <w:right w:w="120" w:type="dxa"/>
            </w:tcMar>
            <w:vAlign w:val="center"/>
          </w:tcPr>
          <w:p w14:paraId="684D768C">
            <w:pPr>
              <w:rPr>
                <w:rFonts w:hint="eastAsia"/>
              </w:rPr>
            </w:pPr>
            <w:r>
              <w:rPr>
                <w:lang w:bidi="ar"/>
              </w:rPr>
              <w:t>套</w:t>
            </w:r>
          </w:p>
        </w:tc>
        <w:tc>
          <w:tcPr>
            <w:tcW w:w="382" w:type="pct"/>
            <w:tcMar>
              <w:top w:w="120" w:type="dxa"/>
              <w:left w:w="120" w:type="dxa"/>
              <w:bottom w:w="120" w:type="dxa"/>
              <w:right w:w="120" w:type="dxa"/>
            </w:tcMar>
            <w:vAlign w:val="center"/>
          </w:tcPr>
          <w:p w14:paraId="7EC9BFF5">
            <w:pPr>
              <w:rPr>
                <w:rFonts w:hint="eastAsia"/>
              </w:rPr>
            </w:pPr>
            <w:r>
              <w:rPr>
                <w:lang w:bidi="ar"/>
              </w:rPr>
              <w:t>48</w:t>
            </w:r>
          </w:p>
        </w:tc>
        <w:tc>
          <w:tcPr>
            <w:tcW w:w="710" w:type="pct"/>
            <w:tcMar>
              <w:top w:w="120" w:type="dxa"/>
              <w:left w:w="120" w:type="dxa"/>
              <w:bottom w:w="120" w:type="dxa"/>
              <w:right w:w="120" w:type="dxa"/>
            </w:tcMar>
            <w:vAlign w:val="center"/>
          </w:tcPr>
          <w:p w14:paraId="1CD617D0">
            <w:pPr>
              <w:rPr>
                <w:rFonts w:hint="eastAsia"/>
              </w:rPr>
            </w:pPr>
          </w:p>
        </w:tc>
      </w:tr>
      <w:tr w14:paraId="1422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Mar>
              <w:top w:w="120" w:type="dxa"/>
              <w:left w:w="120" w:type="dxa"/>
              <w:bottom w:w="120" w:type="dxa"/>
              <w:right w:w="120" w:type="dxa"/>
            </w:tcMar>
            <w:vAlign w:val="center"/>
          </w:tcPr>
          <w:p w14:paraId="5908E4DB">
            <w:pPr>
              <w:rPr>
                <w:rFonts w:hint="eastAsia"/>
              </w:rPr>
            </w:pPr>
            <w:r>
              <w:rPr>
                <w:lang w:bidi="ar"/>
              </w:rPr>
              <w:t>2.4</w:t>
            </w:r>
          </w:p>
        </w:tc>
        <w:tc>
          <w:tcPr>
            <w:tcW w:w="1060" w:type="pct"/>
            <w:tcMar>
              <w:top w:w="120" w:type="dxa"/>
              <w:left w:w="120" w:type="dxa"/>
              <w:bottom w:w="120" w:type="dxa"/>
              <w:right w:w="120" w:type="dxa"/>
            </w:tcMar>
            <w:vAlign w:val="center"/>
          </w:tcPr>
          <w:p w14:paraId="45408A0A">
            <w:pPr>
              <w:rPr>
                <w:rFonts w:hint="eastAsia"/>
              </w:rPr>
            </w:pPr>
          </w:p>
        </w:tc>
        <w:tc>
          <w:tcPr>
            <w:tcW w:w="1412" w:type="pct"/>
            <w:tcMar>
              <w:top w:w="120" w:type="dxa"/>
              <w:left w:w="120" w:type="dxa"/>
              <w:bottom w:w="120" w:type="dxa"/>
              <w:right w:w="120" w:type="dxa"/>
            </w:tcMar>
            <w:vAlign w:val="center"/>
          </w:tcPr>
          <w:p w14:paraId="57FC6B5C">
            <w:pPr>
              <w:rPr>
                <w:rFonts w:hint="eastAsia"/>
              </w:rPr>
            </w:pPr>
            <w:r>
              <w:rPr>
                <w:lang w:bidi="ar"/>
              </w:rPr>
              <w:t>母线与柜体连接套件</w:t>
            </w:r>
          </w:p>
        </w:tc>
        <w:tc>
          <w:tcPr>
            <w:tcW w:w="653" w:type="pct"/>
            <w:tcMar>
              <w:top w:w="120" w:type="dxa"/>
              <w:left w:w="120" w:type="dxa"/>
              <w:bottom w:w="120" w:type="dxa"/>
              <w:right w:w="120" w:type="dxa"/>
            </w:tcMar>
            <w:vAlign w:val="center"/>
          </w:tcPr>
          <w:p w14:paraId="09AF9E70">
            <w:pPr>
              <w:rPr>
                <w:rFonts w:hint="eastAsia"/>
              </w:rPr>
            </w:pPr>
            <w:r>
              <w:rPr>
                <w:lang w:bidi="ar"/>
              </w:rPr>
              <w:t>2500A</w:t>
            </w:r>
          </w:p>
        </w:tc>
        <w:tc>
          <w:tcPr>
            <w:tcW w:w="413" w:type="pct"/>
            <w:tcMar>
              <w:top w:w="120" w:type="dxa"/>
              <w:left w:w="120" w:type="dxa"/>
              <w:bottom w:w="120" w:type="dxa"/>
              <w:right w:w="120" w:type="dxa"/>
            </w:tcMar>
            <w:vAlign w:val="center"/>
          </w:tcPr>
          <w:p w14:paraId="315DE563">
            <w:pPr>
              <w:rPr>
                <w:rFonts w:hint="eastAsia"/>
              </w:rPr>
            </w:pPr>
            <w:r>
              <w:rPr>
                <w:lang w:bidi="ar"/>
              </w:rPr>
              <w:t>套</w:t>
            </w:r>
          </w:p>
        </w:tc>
        <w:tc>
          <w:tcPr>
            <w:tcW w:w="382" w:type="pct"/>
            <w:tcMar>
              <w:top w:w="120" w:type="dxa"/>
              <w:left w:w="120" w:type="dxa"/>
              <w:bottom w:w="120" w:type="dxa"/>
              <w:right w:w="120" w:type="dxa"/>
            </w:tcMar>
            <w:vAlign w:val="center"/>
          </w:tcPr>
          <w:p w14:paraId="7A35D15E">
            <w:pPr>
              <w:rPr>
                <w:rFonts w:hint="eastAsia"/>
              </w:rPr>
            </w:pPr>
            <w:r>
              <w:rPr>
                <w:lang w:bidi="ar"/>
              </w:rPr>
              <w:t>1</w:t>
            </w:r>
          </w:p>
        </w:tc>
        <w:tc>
          <w:tcPr>
            <w:tcW w:w="710" w:type="pct"/>
            <w:tcMar>
              <w:top w:w="120" w:type="dxa"/>
              <w:left w:w="120" w:type="dxa"/>
              <w:bottom w:w="120" w:type="dxa"/>
              <w:right w:w="120" w:type="dxa"/>
            </w:tcMar>
            <w:vAlign w:val="center"/>
          </w:tcPr>
          <w:p w14:paraId="7DADEB25">
            <w:pPr>
              <w:rPr>
                <w:rFonts w:hint="eastAsia"/>
              </w:rPr>
            </w:pPr>
          </w:p>
        </w:tc>
      </w:tr>
      <w:tr w14:paraId="1D2E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bottom w:val="single" w:color="auto" w:sz="4" w:space="0"/>
            </w:tcBorders>
            <w:tcMar>
              <w:top w:w="120" w:type="dxa"/>
              <w:left w:w="120" w:type="dxa"/>
              <w:bottom w:w="120" w:type="dxa"/>
              <w:right w:w="120" w:type="dxa"/>
            </w:tcMar>
            <w:vAlign w:val="center"/>
          </w:tcPr>
          <w:p w14:paraId="1B3D05EE">
            <w:pPr>
              <w:rPr>
                <w:rFonts w:hint="eastAsia"/>
              </w:rPr>
            </w:pPr>
            <w:r>
              <w:rPr>
                <w:lang w:bidi="ar"/>
              </w:rPr>
              <w:t>2.5</w:t>
            </w:r>
          </w:p>
        </w:tc>
        <w:tc>
          <w:tcPr>
            <w:tcW w:w="1060" w:type="pct"/>
            <w:tcBorders>
              <w:bottom w:val="single" w:color="auto" w:sz="4" w:space="0"/>
            </w:tcBorders>
            <w:tcMar>
              <w:top w:w="120" w:type="dxa"/>
              <w:left w:w="120" w:type="dxa"/>
              <w:bottom w:w="120" w:type="dxa"/>
              <w:right w:w="120" w:type="dxa"/>
            </w:tcMar>
            <w:vAlign w:val="center"/>
          </w:tcPr>
          <w:p w14:paraId="0F194ABD">
            <w:pPr>
              <w:rPr>
                <w:rFonts w:hint="eastAsia"/>
              </w:rPr>
            </w:pPr>
          </w:p>
        </w:tc>
        <w:tc>
          <w:tcPr>
            <w:tcW w:w="1412" w:type="pct"/>
            <w:tcBorders>
              <w:bottom w:val="single" w:color="auto" w:sz="4" w:space="0"/>
            </w:tcBorders>
            <w:tcMar>
              <w:top w:w="120" w:type="dxa"/>
              <w:left w:w="120" w:type="dxa"/>
              <w:bottom w:w="120" w:type="dxa"/>
              <w:right w:w="120" w:type="dxa"/>
            </w:tcMar>
            <w:vAlign w:val="center"/>
          </w:tcPr>
          <w:p w14:paraId="5854EEE1">
            <w:pPr>
              <w:rPr>
                <w:rFonts w:hint="eastAsia"/>
              </w:rPr>
            </w:pPr>
            <w:r>
              <w:rPr>
                <w:lang w:bidi="ar"/>
              </w:rPr>
              <w:t>专用支吊架</w:t>
            </w:r>
          </w:p>
        </w:tc>
        <w:tc>
          <w:tcPr>
            <w:tcW w:w="653" w:type="pct"/>
            <w:tcBorders>
              <w:bottom w:val="single" w:color="auto" w:sz="4" w:space="0"/>
            </w:tcBorders>
            <w:tcMar>
              <w:top w:w="120" w:type="dxa"/>
              <w:left w:w="120" w:type="dxa"/>
              <w:bottom w:w="120" w:type="dxa"/>
              <w:right w:w="120" w:type="dxa"/>
            </w:tcMar>
            <w:vAlign w:val="center"/>
          </w:tcPr>
          <w:p w14:paraId="4D5D0CBF">
            <w:pPr>
              <w:rPr>
                <w:rFonts w:hint="eastAsia"/>
              </w:rPr>
            </w:pPr>
            <w:r>
              <w:rPr>
                <w:lang w:bidi="ar"/>
              </w:rPr>
              <w:t>2500A 母线配套</w:t>
            </w:r>
          </w:p>
        </w:tc>
        <w:tc>
          <w:tcPr>
            <w:tcW w:w="413" w:type="pct"/>
            <w:tcBorders>
              <w:bottom w:val="single" w:color="auto" w:sz="4" w:space="0"/>
            </w:tcBorders>
            <w:tcMar>
              <w:top w:w="120" w:type="dxa"/>
              <w:left w:w="120" w:type="dxa"/>
              <w:bottom w:w="120" w:type="dxa"/>
              <w:right w:w="120" w:type="dxa"/>
            </w:tcMar>
            <w:vAlign w:val="center"/>
          </w:tcPr>
          <w:p w14:paraId="05BEE185">
            <w:pPr>
              <w:rPr>
                <w:rFonts w:hint="eastAsia"/>
              </w:rPr>
            </w:pPr>
            <w:r>
              <w:rPr>
                <w:lang w:bidi="ar"/>
              </w:rPr>
              <w:t>套</w:t>
            </w:r>
          </w:p>
        </w:tc>
        <w:tc>
          <w:tcPr>
            <w:tcW w:w="382" w:type="pct"/>
            <w:tcBorders>
              <w:bottom w:val="single" w:color="auto" w:sz="4" w:space="0"/>
            </w:tcBorders>
            <w:tcMar>
              <w:top w:w="120" w:type="dxa"/>
              <w:left w:w="120" w:type="dxa"/>
              <w:bottom w:w="120" w:type="dxa"/>
              <w:right w:w="120" w:type="dxa"/>
            </w:tcMar>
            <w:vAlign w:val="center"/>
          </w:tcPr>
          <w:p w14:paraId="06DE4E89">
            <w:pPr>
              <w:rPr>
                <w:rFonts w:hint="eastAsia"/>
              </w:rPr>
            </w:pPr>
            <w:r>
              <w:rPr>
                <w:lang w:bidi="ar"/>
              </w:rPr>
              <w:t>65</w:t>
            </w:r>
          </w:p>
        </w:tc>
        <w:tc>
          <w:tcPr>
            <w:tcW w:w="710" w:type="pct"/>
            <w:tcBorders>
              <w:bottom w:val="single" w:color="auto" w:sz="4" w:space="0"/>
            </w:tcBorders>
            <w:tcMar>
              <w:top w:w="120" w:type="dxa"/>
              <w:left w:w="120" w:type="dxa"/>
              <w:bottom w:w="120" w:type="dxa"/>
              <w:right w:w="120" w:type="dxa"/>
            </w:tcMar>
            <w:vAlign w:val="center"/>
          </w:tcPr>
          <w:p w14:paraId="19779F7C">
            <w:pPr>
              <w:rPr>
                <w:rFonts w:hint="eastAsia"/>
              </w:rPr>
            </w:pPr>
          </w:p>
        </w:tc>
      </w:tr>
      <w:bookmarkEnd w:id="130"/>
      <w:tr w14:paraId="1671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bottom w:val="single" w:color="auto" w:sz="4" w:space="0"/>
            </w:tcBorders>
            <w:tcMar>
              <w:top w:w="120" w:type="dxa"/>
              <w:left w:w="120" w:type="dxa"/>
              <w:bottom w:w="120" w:type="dxa"/>
              <w:right w:w="120" w:type="dxa"/>
            </w:tcMar>
            <w:vAlign w:val="center"/>
          </w:tcPr>
          <w:p w14:paraId="09A65A07">
            <w:pPr>
              <w:rPr>
                <w:rFonts w:hint="eastAsia"/>
                <w:lang w:bidi="ar"/>
              </w:rPr>
            </w:pPr>
            <w:r>
              <w:rPr>
                <w:rFonts w:hint="eastAsia"/>
                <w:lang w:bidi="ar"/>
              </w:rPr>
              <w:t>2.6</w:t>
            </w:r>
          </w:p>
        </w:tc>
        <w:tc>
          <w:tcPr>
            <w:tcW w:w="1060" w:type="pct"/>
            <w:tcBorders>
              <w:bottom w:val="single" w:color="auto" w:sz="4" w:space="0"/>
            </w:tcBorders>
            <w:tcMar>
              <w:top w:w="120" w:type="dxa"/>
              <w:left w:w="120" w:type="dxa"/>
              <w:bottom w:w="120" w:type="dxa"/>
              <w:right w:w="120" w:type="dxa"/>
            </w:tcMar>
            <w:vAlign w:val="center"/>
          </w:tcPr>
          <w:p w14:paraId="4DD87504">
            <w:pPr>
              <w:rPr>
                <w:rFonts w:hint="eastAsia"/>
              </w:rPr>
            </w:pPr>
          </w:p>
        </w:tc>
        <w:tc>
          <w:tcPr>
            <w:tcW w:w="1412" w:type="pct"/>
            <w:tcBorders>
              <w:bottom w:val="single" w:color="auto" w:sz="4" w:space="0"/>
            </w:tcBorders>
            <w:tcMar>
              <w:top w:w="120" w:type="dxa"/>
              <w:left w:w="120" w:type="dxa"/>
              <w:bottom w:w="120" w:type="dxa"/>
              <w:right w:w="120" w:type="dxa"/>
            </w:tcMar>
            <w:vAlign w:val="center"/>
          </w:tcPr>
          <w:p w14:paraId="040DF652">
            <w:pPr>
              <w:rPr>
                <w:rFonts w:hint="eastAsia"/>
                <w:lang w:bidi="ar"/>
              </w:rPr>
            </w:pPr>
            <w:r>
              <w:rPr>
                <w:lang w:bidi="ar"/>
              </w:rPr>
              <w:t>三相五线密集式铜母线线槽</w:t>
            </w:r>
          </w:p>
        </w:tc>
        <w:tc>
          <w:tcPr>
            <w:tcW w:w="653" w:type="pct"/>
            <w:tcBorders>
              <w:bottom w:val="single" w:color="auto" w:sz="4" w:space="0"/>
            </w:tcBorders>
            <w:tcMar>
              <w:top w:w="120" w:type="dxa"/>
              <w:left w:w="120" w:type="dxa"/>
              <w:bottom w:w="120" w:type="dxa"/>
              <w:right w:w="120" w:type="dxa"/>
            </w:tcMar>
            <w:vAlign w:val="center"/>
          </w:tcPr>
          <w:p w14:paraId="26AF4F6E">
            <w:pPr>
              <w:rPr>
                <w:rFonts w:hint="eastAsia"/>
                <w:lang w:bidi="ar"/>
              </w:rPr>
            </w:pPr>
            <w:r>
              <w:rPr>
                <w:rFonts w:hint="eastAsia"/>
                <w:lang w:bidi="ar"/>
              </w:rPr>
              <w:t>5000</w:t>
            </w:r>
            <w:r>
              <w:rPr>
                <w:lang w:bidi="ar"/>
              </w:rPr>
              <w:t>A，4m / 段</w:t>
            </w:r>
          </w:p>
        </w:tc>
        <w:tc>
          <w:tcPr>
            <w:tcW w:w="413" w:type="pct"/>
            <w:tcBorders>
              <w:bottom w:val="single" w:color="auto" w:sz="4" w:space="0"/>
            </w:tcBorders>
            <w:tcMar>
              <w:top w:w="120" w:type="dxa"/>
              <w:left w:w="120" w:type="dxa"/>
              <w:bottom w:w="120" w:type="dxa"/>
              <w:right w:w="120" w:type="dxa"/>
            </w:tcMar>
            <w:vAlign w:val="center"/>
          </w:tcPr>
          <w:p w14:paraId="2E86E5CF">
            <w:pPr>
              <w:rPr>
                <w:rFonts w:hint="eastAsia"/>
                <w:lang w:bidi="ar"/>
              </w:rPr>
            </w:pPr>
            <w:r>
              <w:rPr>
                <w:lang w:bidi="ar"/>
              </w:rPr>
              <w:t>米</w:t>
            </w:r>
          </w:p>
        </w:tc>
        <w:tc>
          <w:tcPr>
            <w:tcW w:w="382" w:type="pct"/>
            <w:tcBorders>
              <w:bottom w:val="single" w:color="auto" w:sz="4" w:space="0"/>
            </w:tcBorders>
            <w:tcMar>
              <w:top w:w="120" w:type="dxa"/>
              <w:left w:w="120" w:type="dxa"/>
              <w:bottom w:w="120" w:type="dxa"/>
              <w:right w:w="120" w:type="dxa"/>
            </w:tcMar>
            <w:vAlign w:val="center"/>
          </w:tcPr>
          <w:p w14:paraId="082B0E8B">
            <w:pPr>
              <w:rPr>
                <w:rFonts w:hint="eastAsia"/>
                <w:lang w:bidi="ar"/>
              </w:rPr>
            </w:pPr>
            <w:r>
              <w:rPr>
                <w:rFonts w:hint="eastAsia"/>
                <w:lang w:bidi="ar"/>
              </w:rPr>
              <w:t>12</w:t>
            </w:r>
          </w:p>
        </w:tc>
        <w:tc>
          <w:tcPr>
            <w:tcW w:w="710" w:type="pct"/>
            <w:tcBorders>
              <w:bottom w:val="single" w:color="auto" w:sz="4" w:space="0"/>
            </w:tcBorders>
            <w:tcMar>
              <w:top w:w="120" w:type="dxa"/>
              <w:left w:w="120" w:type="dxa"/>
              <w:bottom w:w="120" w:type="dxa"/>
              <w:right w:w="120" w:type="dxa"/>
            </w:tcMar>
            <w:vAlign w:val="center"/>
          </w:tcPr>
          <w:p w14:paraId="76D9A3E3">
            <w:pPr>
              <w:rPr>
                <w:rFonts w:hint="eastAsia"/>
              </w:rPr>
            </w:pPr>
          </w:p>
        </w:tc>
      </w:tr>
      <w:tr w14:paraId="5E58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bottom w:val="single" w:color="auto" w:sz="4" w:space="0"/>
            </w:tcBorders>
            <w:tcMar>
              <w:top w:w="120" w:type="dxa"/>
              <w:left w:w="120" w:type="dxa"/>
              <w:bottom w:w="120" w:type="dxa"/>
              <w:right w:w="120" w:type="dxa"/>
            </w:tcMar>
            <w:vAlign w:val="center"/>
          </w:tcPr>
          <w:p w14:paraId="6968EB53">
            <w:pPr>
              <w:rPr>
                <w:rFonts w:hint="eastAsia"/>
                <w:lang w:bidi="ar"/>
              </w:rPr>
            </w:pPr>
            <w:r>
              <w:rPr>
                <w:rFonts w:hint="eastAsia"/>
                <w:lang w:bidi="ar"/>
              </w:rPr>
              <w:t>2.7</w:t>
            </w:r>
          </w:p>
        </w:tc>
        <w:tc>
          <w:tcPr>
            <w:tcW w:w="1060" w:type="pct"/>
            <w:tcBorders>
              <w:bottom w:val="single" w:color="auto" w:sz="4" w:space="0"/>
            </w:tcBorders>
            <w:tcMar>
              <w:top w:w="120" w:type="dxa"/>
              <w:left w:w="120" w:type="dxa"/>
              <w:bottom w:w="120" w:type="dxa"/>
              <w:right w:w="120" w:type="dxa"/>
            </w:tcMar>
            <w:vAlign w:val="center"/>
          </w:tcPr>
          <w:p w14:paraId="7918AFBB">
            <w:pPr>
              <w:rPr>
                <w:rFonts w:hint="eastAsia"/>
              </w:rPr>
            </w:pPr>
          </w:p>
        </w:tc>
        <w:tc>
          <w:tcPr>
            <w:tcW w:w="1412" w:type="pct"/>
            <w:tcBorders>
              <w:top w:val="single" w:color="auto" w:sz="4" w:space="0"/>
            </w:tcBorders>
            <w:tcMar>
              <w:top w:w="120" w:type="dxa"/>
              <w:left w:w="120" w:type="dxa"/>
              <w:bottom w:w="120" w:type="dxa"/>
              <w:right w:w="120" w:type="dxa"/>
            </w:tcMar>
            <w:vAlign w:val="center"/>
          </w:tcPr>
          <w:p w14:paraId="431A9E4E">
            <w:pPr>
              <w:rPr>
                <w:rFonts w:hint="eastAsia"/>
                <w:lang w:bidi="ar"/>
              </w:rPr>
            </w:pPr>
            <w:r>
              <w:rPr>
                <w:lang w:bidi="ar"/>
              </w:rPr>
              <w:t>母线弯通加工件</w:t>
            </w:r>
          </w:p>
        </w:tc>
        <w:tc>
          <w:tcPr>
            <w:tcW w:w="653" w:type="pct"/>
            <w:tcBorders>
              <w:top w:val="single" w:color="auto" w:sz="4" w:space="0"/>
            </w:tcBorders>
            <w:tcMar>
              <w:top w:w="120" w:type="dxa"/>
              <w:left w:w="120" w:type="dxa"/>
              <w:bottom w:w="120" w:type="dxa"/>
              <w:right w:w="120" w:type="dxa"/>
            </w:tcMar>
            <w:vAlign w:val="center"/>
          </w:tcPr>
          <w:p w14:paraId="6F37FC76">
            <w:pPr>
              <w:rPr>
                <w:rFonts w:hint="eastAsia"/>
                <w:lang w:bidi="ar"/>
              </w:rPr>
            </w:pPr>
            <w:r>
              <w:rPr>
                <w:rFonts w:hint="eastAsia"/>
                <w:lang w:bidi="ar"/>
              </w:rPr>
              <w:t>5000</w:t>
            </w:r>
            <w:r>
              <w:rPr>
                <w:lang w:bidi="ar"/>
              </w:rPr>
              <w:t>A</w:t>
            </w:r>
          </w:p>
        </w:tc>
        <w:tc>
          <w:tcPr>
            <w:tcW w:w="413" w:type="pct"/>
            <w:tcBorders>
              <w:top w:val="single" w:color="auto" w:sz="4" w:space="0"/>
            </w:tcBorders>
            <w:tcMar>
              <w:top w:w="120" w:type="dxa"/>
              <w:left w:w="120" w:type="dxa"/>
              <w:bottom w:w="120" w:type="dxa"/>
              <w:right w:w="120" w:type="dxa"/>
            </w:tcMar>
            <w:vAlign w:val="center"/>
          </w:tcPr>
          <w:p w14:paraId="51DD2ACF">
            <w:pPr>
              <w:rPr>
                <w:rFonts w:hint="eastAsia"/>
                <w:lang w:bidi="ar"/>
              </w:rPr>
            </w:pPr>
            <w:r>
              <w:rPr>
                <w:lang w:bidi="ar"/>
              </w:rPr>
              <w:t>只</w:t>
            </w:r>
          </w:p>
        </w:tc>
        <w:tc>
          <w:tcPr>
            <w:tcW w:w="382" w:type="pct"/>
            <w:tcBorders>
              <w:bottom w:val="single" w:color="auto" w:sz="4" w:space="0"/>
            </w:tcBorders>
            <w:tcMar>
              <w:top w:w="120" w:type="dxa"/>
              <w:left w:w="120" w:type="dxa"/>
              <w:bottom w:w="120" w:type="dxa"/>
              <w:right w:w="120" w:type="dxa"/>
            </w:tcMar>
            <w:vAlign w:val="center"/>
          </w:tcPr>
          <w:p w14:paraId="2CC02F6D">
            <w:pPr>
              <w:rPr>
                <w:rFonts w:hint="eastAsia"/>
                <w:lang w:bidi="ar"/>
              </w:rPr>
            </w:pPr>
            <w:r>
              <w:rPr>
                <w:rFonts w:hint="eastAsia"/>
                <w:lang w:bidi="ar"/>
              </w:rPr>
              <w:t>7</w:t>
            </w:r>
          </w:p>
        </w:tc>
        <w:tc>
          <w:tcPr>
            <w:tcW w:w="710" w:type="pct"/>
            <w:tcBorders>
              <w:bottom w:val="single" w:color="auto" w:sz="4" w:space="0"/>
            </w:tcBorders>
            <w:tcMar>
              <w:top w:w="120" w:type="dxa"/>
              <w:left w:w="120" w:type="dxa"/>
              <w:bottom w:w="120" w:type="dxa"/>
              <w:right w:w="120" w:type="dxa"/>
            </w:tcMar>
            <w:vAlign w:val="center"/>
          </w:tcPr>
          <w:p w14:paraId="63E83579">
            <w:pPr>
              <w:rPr>
                <w:rFonts w:hint="eastAsia"/>
              </w:rPr>
            </w:pPr>
          </w:p>
        </w:tc>
      </w:tr>
      <w:tr w14:paraId="246C1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bottom w:val="single" w:color="auto" w:sz="4" w:space="0"/>
            </w:tcBorders>
            <w:tcMar>
              <w:top w:w="120" w:type="dxa"/>
              <w:left w:w="120" w:type="dxa"/>
              <w:bottom w:w="120" w:type="dxa"/>
              <w:right w:w="120" w:type="dxa"/>
            </w:tcMar>
            <w:vAlign w:val="center"/>
          </w:tcPr>
          <w:p w14:paraId="30A0F3CD">
            <w:pPr>
              <w:rPr>
                <w:rFonts w:hint="eastAsia"/>
                <w:lang w:bidi="ar"/>
              </w:rPr>
            </w:pPr>
            <w:r>
              <w:rPr>
                <w:rFonts w:hint="eastAsia"/>
                <w:lang w:bidi="ar"/>
              </w:rPr>
              <w:t>2.8</w:t>
            </w:r>
          </w:p>
        </w:tc>
        <w:tc>
          <w:tcPr>
            <w:tcW w:w="1060" w:type="pct"/>
            <w:tcBorders>
              <w:bottom w:val="single" w:color="auto" w:sz="4" w:space="0"/>
            </w:tcBorders>
            <w:tcMar>
              <w:top w:w="120" w:type="dxa"/>
              <w:left w:w="120" w:type="dxa"/>
              <w:bottom w:w="120" w:type="dxa"/>
              <w:right w:w="120" w:type="dxa"/>
            </w:tcMar>
            <w:vAlign w:val="center"/>
          </w:tcPr>
          <w:p w14:paraId="29B5C1F0">
            <w:pPr>
              <w:rPr>
                <w:rFonts w:hint="eastAsia"/>
              </w:rPr>
            </w:pPr>
          </w:p>
        </w:tc>
        <w:tc>
          <w:tcPr>
            <w:tcW w:w="1412" w:type="pct"/>
            <w:tcBorders>
              <w:bottom w:val="single" w:color="auto" w:sz="4" w:space="0"/>
            </w:tcBorders>
            <w:tcMar>
              <w:top w:w="120" w:type="dxa"/>
              <w:left w:w="120" w:type="dxa"/>
              <w:bottom w:w="120" w:type="dxa"/>
              <w:right w:w="120" w:type="dxa"/>
            </w:tcMar>
            <w:vAlign w:val="center"/>
          </w:tcPr>
          <w:p w14:paraId="3CDDCC16">
            <w:pPr>
              <w:rPr>
                <w:rFonts w:hint="eastAsia"/>
                <w:lang w:bidi="ar"/>
              </w:rPr>
            </w:pPr>
            <w:r>
              <w:rPr>
                <w:lang w:bidi="ar"/>
              </w:rPr>
              <w:t>配套接头器</w:t>
            </w:r>
          </w:p>
        </w:tc>
        <w:tc>
          <w:tcPr>
            <w:tcW w:w="653" w:type="pct"/>
            <w:tcBorders>
              <w:bottom w:val="single" w:color="auto" w:sz="4" w:space="0"/>
            </w:tcBorders>
            <w:tcMar>
              <w:top w:w="120" w:type="dxa"/>
              <w:left w:w="120" w:type="dxa"/>
              <w:bottom w:w="120" w:type="dxa"/>
              <w:right w:w="120" w:type="dxa"/>
            </w:tcMar>
            <w:vAlign w:val="center"/>
          </w:tcPr>
          <w:p w14:paraId="23EB2ECD">
            <w:pPr>
              <w:rPr>
                <w:rFonts w:hint="eastAsia"/>
                <w:lang w:bidi="ar"/>
              </w:rPr>
            </w:pPr>
            <w:r>
              <w:rPr>
                <w:rFonts w:hint="eastAsia"/>
                <w:lang w:bidi="ar"/>
              </w:rPr>
              <w:t>5000A</w:t>
            </w:r>
          </w:p>
        </w:tc>
        <w:tc>
          <w:tcPr>
            <w:tcW w:w="413" w:type="pct"/>
            <w:tcBorders>
              <w:bottom w:val="single" w:color="auto" w:sz="4" w:space="0"/>
            </w:tcBorders>
            <w:tcMar>
              <w:top w:w="120" w:type="dxa"/>
              <w:left w:w="120" w:type="dxa"/>
              <w:bottom w:w="120" w:type="dxa"/>
              <w:right w:w="120" w:type="dxa"/>
            </w:tcMar>
            <w:vAlign w:val="center"/>
          </w:tcPr>
          <w:p w14:paraId="106F3AE7">
            <w:pPr>
              <w:rPr>
                <w:rFonts w:hint="eastAsia"/>
                <w:lang w:bidi="ar"/>
              </w:rPr>
            </w:pPr>
            <w:r>
              <w:rPr>
                <w:lang w:bidi="ar"/>
              </w:rPr>
              <w:t>套</w:t>
            </w:r>
          </w:p>
        </w:tc>
        <w:tc>
          <w:tcPr>
            <w:tcW w:w="382" w:type="pct"/>
            <w:tcBorders>
              <w:bottom w:val="single" w:color="auto" w:sz="4" w:space="0"/>
            </w:tcBorders>
            <w:tcMar>
              <w:top w:w="120" w:type="dxa"/>
              <w:left w:w="120" w:type="dxa"/>
              <w:bottom w:w="120" w:type="dxa"/>
              <w:right w:w="120" w:type="dxa"/>
            </w:tcMar>
            <w:vAlign w:val="center"/>
          </w:tcPr>
          <w:p w14:paraId="16336DE3">
            <w:pPr>
              <w:rPr>
                <w:rFonts w:hint="eastAsia"/>
                <w:lang w:bidi="ar"/>
              </w:rPr>
            </w:pPr>
            <w:r>
              <w:rPr>
                <w:rFonts w:hint="eastAsia"/>
                <w:lang w:bidi="ar"/>
              </w:rPr>
              <w:t>20</w:t>
            </w:r>
          </w:p>
        </w:tc>
        <w:tc>
          <w:tcPr>
            <w:tcW w:w="710" w:type="pct"/>
            <w:tcBorders>
              <w:bottom w:val="single" w:color="auto" w:sz="4" w:space="0"/>
            </w:tcBorders>
            <w:tcMar>
              <w:top w:w="120" w:type="dxa"/>
              <w:left w:w="120" w:type="dxa"/>
              <w:bottom w:w="120" w:type="dxa"/>
              <w:right w:w="120" w:type="dxa"/>
            </w:tcMar>
            <w:vAlign w:val="center"/>
          </w:tcPr>
          <w:p w14:paraId="4E0B5942">
            <w:pPr>
              <w:rPr>
                <w:rFonts w:hint="eastAsia"/>
              </w:rPr>
            </w:pPr>
          </w:p>
        </w:tc>
      </w:tr>
      <w:tr w14:paraId="4317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bottom w:val="single" w:color="auto" w:sz="4" w:space="0"/>
            </w:tcBorders>
            <w:tcMar>
              <w:top w:w="120" w:type="dxa"/>
              <w:left w:w="120" w:type="dxa"/>
              <w:bottom w:w="120" w:type="dxa"/>
              <w:right w:w="120" w:type="dxa"/>
            </w:tcMar>
            <w:vAlign w:val="center"/>
          </w:tcPr>
          <w:p w14:paraId="68DD5FCB">
            <w:pPr>
              <w:rPr>
                <w:rFonts w:hint="eastAsia"/>
                <w:lang w:bidi="ar"/>
              </w:rPr>
            </w:pPr>
            <w:r>
              <w:rPr>
                <w:rFonts w:hint="eastAsia"/>
                <w:lang w:bidi="ar"/>
              </w:rPr>
              <w:t>2.9</w:t>
            </w:r>
          </w:p>
        </w:tc>
        <w:tc>
          <w:tcPr>
            <w:tcW w:w="1060" w:type="pct"/>
            <w:tcBorders>
              <w:bottom w:val="single" w:color="auto" w:sz="4" w:space="0"/>
            </w:tcBorders>
            <w:tcMar>
              <w:top w:w="120" w:type="dxa"/>
              <w:left w:w="120" w:type="dxa"/>
              <w:bottom w:w="120" w:type="dxa"/>
              <w:right w:w="120" w:type="dxa"/>
            </w:tcMar>
            <w:vAlign w:val="center"/>
          </w:tcPr>
          <w:p w14:paraId="0FB0E908">
            <w:pPr>
              <w:rPr>
                <w:rFonts w:hint="eastAsia"/>
              </w:rPr>
            </w:pPr>
          </w:p>
        </w:tc>
        <w:tc>
          <w:tcPr>
            <w:tcW w:w="1412" w:type="pct"/>
            <w:tcBorders>
              <w:bottom w:val="single" w:color="auto" w:sz="4" w:space="0"/>
            </w:tcBorders>
            <w:tcMar>
              <w:top w:w="120" w:type="dxa"/>
              <w:left w:w="120" w:type="dxa"/>
              <w:bottom w:w="120" w:type="dxa"/>
              <w:right w:w="120" w:type="dxa"/>
            </w:tcMar>
            <w:vAlign w:val="center"/>
          </w:tcPr>
          <w:p w14:paraId="10E89C2B">
            <w:pPr>
              <w:rPr>
                <w:rFonts w:hint="eastAsia"/>
                <w:lang w:bidi="ar"/>
              </w:rPr>
            </w:pPr>
            <w:r>
              <w:rPr>
                <w:lang w:bidi="ar"/>
              </w:rPr>
              <w:t>母线与柜体连接套件</w:t>
            </w:r>
          </w:p>
        </w:tc>
        <w:tc>
          <w:tcPr>
            <w:tcW w:w="653" w:type="pct"/>
            <w:tcBorders>
              <w:bottom w:val="single" w:color="auto" w:sz="4" w:space="0"/>
            </w:tcBorders>
            <w:tcMar>
              <w:top w:w="120" w:type="dxa"/>
              <w:left w:w="120" w:type="dxa"/>
              <w:bottom w:w="120" w:type="dxa"/>
              <w:right w:w="120" w:type="dxa"/>
            </w:tcMar>
            <w:vAlign w:val="center"/>
          </w:tcPr>
          <w:p w14:paraId="46BBE34E">
            <w:pPr>
              <w:rPr>
                <w:rFonts w:hint="eastAsia"/>
                <w:lang w:bidi="ar"/>
              </w:rPr>
            </w:pPr>
            <w:r>
              <w:rPr>
                <w:rFonts w:hint="eastAsia"/>
                <w:lang w:bidi="ar"/>
              </w:rPr>
              <w:t>5000</w:t>
            </w:r>
            <w:r>
              <w:rPr>
                <w:lang w:bidi="ar"/>
              </w:rPr>
              <w:t>A</w:t>
            </w:r>
          </w:p>
        </w:tc>
        <w:tc>
          <w:tcPr>
            <w:tcW w:w="413" w:type="pct"/>
            <w:tcBorders>
              <w:bottom w:val="single" w:color="auto" w:sz="4" w:space="0"/>
            </w:tcBorders>
            <w:tcMar>
              <w:top w:w="120" w:type="dxa"/>
              <w:left w:w="120" w:type="dxa"/>
              <w:bottom w:w="120" w:type="dxa"/>
              <w:right w:w="120" w:type="dxa"/>
            </w:tcMar>
            <w:vAlign w:val="center"/>
          </w:tcPr>
          <w:p w14:paraId="310BFE54">
            <w:pPr>
              <w:rPr>
                <w:rFonts w:hint="eastAsia"/>
                <w:lang w:bidi="ar"/>
              </w:rPr>
            </w:pPr>
            <w:r>
              <w:rPr>
                <w:lang w:bidi="ar"/>
              </w:rPr>
              <w:t>套</w:t>
            </w:r>
          </w:p>
        </w:tc>
        <w:tc>
          <w:tcPr>
            <w:tcW w:w="382" w:type="pct"/>
            <w:tcBorders>
              <w:bottom w:val="single" w:color="auto" w:sz="4" w:space="0"/>
            </w:tcBorders>
            <w:tcMar>
              <w:top w:w="120" w:type="dxa"/>
              <w:left w:w="120" w:type="dxa"/>
              <w:bottom w:w="120" w:type="dxa"/>
              <w:right w:w="120" w:type="dxa"/>
            </w:tcMar>
            <w:vAlign w:val="center"/>
          </w:tcPr>
          <w:p w14:paraId="3428B1EF">
            <w:pPr>
              <w:rPr>
                <w:rFonts w:hint="eastAsia"/>
                <w:lang w:bidi="ar"/>
              </w:rPr>
            </w:pPr>
            <w:r>
              <w:rPr>
                <w:rFonts w:hint="eastAsia"/>
                <w:lang w:bidi="ar"/>
              </w:rPr>
              <w:t>2</w:t>
            </w:r>
          </w:p>
        </w:tc>
        <w:tc>
          <w:tcPr>
            <w:tcW w:w="710" w:type="pct"/>
            <w:tcBorders>
              <w:bottom w:val="single" w:color="auto" w:sz="4" w:space="0"/>
            </w:tcBorders>
            <w:tcMar>
              <w:top w:w="120" w:type="dxa"/>
              <w:left w:w="120" w:type="dxa"/>
              <w:bottom w:w="120" w:type="dxa"/>
              <w:right w:w="120" w:type="dxa"/>
            </w:tcMar>
            <w:vAlign w:val="center"/>
          </w:tcPr>
          <w:p w14:paraId="183EFA5D">
            <w:pPr>
              <w:rPr>
                <w:rFonts w:hint="eastAsia"/>
              </w:rPr>
            </w:pPr>
          </w:p>
        </w:tc>
      </w:tr>
      <w:tr w14:paraId="292B2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bottom w:val="single" w:color="auto" w:sz="4" w:space="0"/>
            </w:tcBorders>
            <w:tcMar>
              <w:top w:w="120" w:type="dxa"/>
              <w:left w:w="120" w:type="dxa"/>
              <w:bottom w:w="120" w:type="dxa"/>
              <w:right w:w="120" w:type="dxa"/>
            </w:tcMar>
            <w:vAlign w:val="center"/>
          </w:tcPr>
          <w:p w14:paraId="4A948138">
            <w:pPr>
              <w:rPr>
                <w:rFonts w:hint="eastAsia"/>
                <w:lang w:bidi="ar"/>
              </w:rPr>
            </w:pPr>
            <w:r>
              <w:rPr>
                <w:rFonts w:hint="eastAsia"/>
                <w:lang w:bidi="ar"/>
              </w:rPr>
              <w:t>2.10</w:t>
            </w:r>
          </w:p>
        </w:tc>
        <w:tc>
          <w:tcPr>
            <w:tcW w:w="1060" w:type="pct"/>
            <w:tcBorders>
              <w:bottom w:val="single" w:color="auto" w:sz="4" w:space="0"/>
            </w:tcBorders>
            <w:tcMar>
              <w:top w:w="120" w:type="dxa"/>
              <w:left w:w="120" w:type="dxa"/>
              <w:bottom w:w="120" w:type="dxa"/>
              <w:right w:w="120" w:type="dxa"/>
            </w:tcMar>
            <w:vAlign w:val="center"/>
          </w:tcPr>
          <w:p w14:paraId="3E2E218D">
            <w:pPr>
              <w:rPr>
                <w:rFonts w:hint="eastAsia"/>
              </w:rPr>
            </w:pPr>
          </w:p>
        </w:tc>
        <w:tc>
          <w:tcPr>
            <w:tcW w:w="1412" w:type="pct"/>
            <w:tcBorders>
              <w:bottom w:val="single" w:color="auto" w:sz="4" w:space="0"/>
            </w:tcBorders>
            <w:tcMar>
              <w:top w:w="120" w:type="dxa"/>
              <w:left w:w="120" w:type="dxa"/>
              <w:bottom w:w="120" w:type="dxa"/>
              <w:right w:w="120" w:type="dxa"/>
            </w:tcMar>
            <w:vAlign w:val="center"/>
          </w:tcPr>
          <w:p w14:paraId="0ACA00C2">
            <w:pPr>
              <w:rPr>
                <w:rFonts w:hint="eastAsia"/>
                <w:lang w:bidi="ar"/>
              </w:rPr>
            </w:pPr>
            <w:r>
              <w:rPr>
                <w:lang w:bidi="ar"/>
              </w:rPr>
              <w:t>专用支吊架</w:t>
            </w:r>
          </w:p>
        </w:tc>
        <w:tc>
          <w:tcPr>
            <w:tcW w:w="653" w:type="pct"/>
            <w:tcBorders>
              <w:bottom w:val="single" w:color="auto" w:sz="4" w:space="0"/>
            </w:tcBorders>
            <w:tcMar>
              <w:top w:w="120" w:type="dxa"/>
              <w:left w:w="120" w:type="dxa"/>
              <w:bottom w:w="120" w:type="dxa"/>
              <w:right w:w="120" w:type="dxa"/>
            </w:tcMar>
            <w:vAlign w:val="center"/>
          </w:tcPr>
          <w:p w14:paraId="028BC07D">
            <w:pPr>
              <w:rPr>
                <w:rFonts w:hint="eastAsia"/>
                <w:lang w:bidi="ar"/>
              </w:rPr>
            </w:pPr>
            <w:r>
              <w:rPr>
                <w:rFonts w:hint="eastAsia"/>
                <w:lang w:bidi="ar"/>
              </w:rPr>
              <w:t>5000A</w:t>
            </w:r>
            <w:r>
              <w:rPr>
                <w:lang w:bidi="ar"/>
              </w:rPr>
              <w:t xml:space="preserve"> 母线配套</w:t>
            </w:r>
          </w:p>
        </w:tc>
        <w:tc>
          <w:tcPr>
            <w:tcW w:w="413" w:type="pct"/>
            <w:tcBorders>
              <w:bottom w:val="single" w:color="auto" w:sz="4" w:space="0"/>
            </w:tcBorders>
            <w:tcMar>
              <w:top w:w="120" w:type="dxa"/>
              <w:left w:w="120" w:type="dxa"/>
              <w:bottom w:w="120" w:type="dxa"/>
              <w:right w:w="120" w:type="dxa"/>
            </w:tcMar>
            <w:vAlign w:val="center"/>
          </w:tcPr>
          <w:p w14:paraId="46641CC1">
            <w:pPr>
              <w:rPr>
                <w:rFonts w:hint="eastAsia"/>
                <w:lang w:bidi="ar"/>
              </w:rPr>
            </w:pPr>
            <w:r>
              <w:rPr>
                <w:lang w:bidi="ar"/>
              </w:rPr>
              <w:t>套</w:t>
            </w:r>
          </w:p>
        </w:tc>
        <w:tc>
          <w:tcPr>
            <w:tcW w:w="382" w:type="pct"/>
            <w:tcBorders>
              <w:bottom w:val="single" w:color="auto" w:sz="4" w:space="0"/>
            </w:tcBorders>
            <w:tcMar>
              <w:top w:w="120" w:type="dxa"/>
              <w:left w:w="120" w:type="dxa"/>
              <w:bottom w:w="120" w:type="dxa"/>
              <w:right w:w="120" w:type="dxa"/>
            </w:tcMar>
            <w:vAlign w:val="center"/>
          </w:tcPr>
          <w:p w14:paraId="09AFEB71">
            <w:pPr>
              <w:rPr>
                <w:rFonts w:hint="eastAsia"/>
                <w:lang w:bidi="ar"/>
              </w:rPr>
            </w:pPr>
            <w:r>
              <w:rPr>
                <w:rFonts w:hint="eastAsia"/>
                <w:lang w:bidi="ar"/>
              </w:rPr>
              <w:t>32</w:t>
            </w:r>
          </w:p>
        </w:tc>
        <w:tc>
          <w:tcPr>
            <w:tcW w:w="710" w:type="pct"/>
            <w:tcBorders>
              <w:bottom w:val="single" w:color="auto" w:sz="4" w:space="0"/>
            </w:tcBorders>
            <w:tcMar>
              <w:top w:w="120" w:type="dxa"/>
              <w:left w:w="120" w:type="dxa"/>
              <w:bottom w:w="120" w:type="dxa"/>
              <w:right w:w="120" w:type="dxa"/>
            </w:tcMar>
            <w:vAlign w:val="center"/>
          </w:tcPr>
          <w:p w14:paraId="3CE7F191">
            <w:pPr>
              <w:rPr>
                <w:rFonts w:hint="eastAsia"/>
              </w:rPr>
            </w:pPr>
          </w:p>
        </w:tc>
      </w:tr>
      <w:tr w14:paraId="33A1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auto" w:sz="4" w:space="0"/>
              <w:left w:val="nil"/>
              <w:bottom w:val="single" w:color="000000" w:sz="4" w:space="0"/>
              <w:right w:val="nil"/>
            </w:tcBorders>
            <w:tcMar>
              <w:top w:w="120" w:type="dxa"/>
              <w:left w:w="120" w:type="dxa"/>
              <w:bottom w:w="120" w:type="dxa"/>
              <w:right w:w="120" w:type="dxa"/>
            </w:tcMar>
            <w:vAlign w:val="center"/>
          </w:tcPr>
          <w:p w14:paraId="2C10B9D8">
            <w:pPr>
              <w:rPr>
                <w:rFonts w:hint="eastAsia"/>
              </w:rPr>
            </w:pPr>
            <w:r>
              <w:rPr>
                <w:rFonts w:hint="eastAsia"/>
              </w:rPr>
              <w:t>三</w:t>
            </w:r>
          </w:p>
        </w:tc>
        <w:tc>
          <w:tcPr>
            <w:tcW w:w="4632" w:type="pct"/>
            <w:gridSpan w:val="6"/>
            <w:tcBorders>
              <w:top w:val="single" w:color="auto" w:sz="4" w:space="0"/>
              <w:left w:val="nil"/>
              <w:bottom w:val="single" w:color="000000" w:sz="4" w:space="0"/>
              <w:right w:val="nil"/>
            </w:tcBorders>
            <w:tcMar>
              <w:top w:w="120" w:type="dxa"/>
              <w:left w:w="120" w:type="dxa"/>
              <w:bottom w:w="120" w:type="dxa"/>
              <w:right w:w="120" w:type="dxa"/>
            </w:tcMar>
            <w:vAlign w:val="center"/>
          </w:tcPr>
          <w:p w14:paraId="193F7CC2">
            <w:pPr>
              <w:rPr>
                <w:rFonts w:hint="eastAsia"/>
              </w:rPr>
            </w:pPr>
            <w:r>
              <w:rPr>
                <w:rStyle w:val="22"/>
                <w:rFonts w:ascii="宋体" w:hAnsi="宋体" w:eastAsia="宋体" w:cs="宋体"/>
                <w:bCs w:val="0"/>
                <w:sz w:val="24"/>
                <w:szCs w:val="24"/>
                <w:lang w:bidi="ar"/>
              </w:rPr>
              <w:t>低压受电</w:t>
            </w:r>
            <w:r>
              <w:rPr>
                <w:rStyle w:val="22"/>
                <w:rFonts w:hint="eastAsia" w:ascii="宋体" w:hAnsi="宋体" w:eastAsia="宋体" w:cs="宋体"/>
                <w:bCs w:val="0"/>
                <w:sz w:val="24"/>
                <w:szCs w:val="24"/>
                <w:lang w:bidi="ar"/>
              </w:rPr>
              <w:t>系统</w:t>
            </w:r>
          </w:p>
        </w:tc>
      </w:tr>
      <w:tr w14:paraId="5C42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6375FE80">
            <w:pPr>
              <w:rPr>
                <w:rFonts w:hint="eastAsia"/>
                <w:lang w:bidi="ar"/>
              </w:rPr>
            </w:pPr>
            <w:r>
              <w:rPr>
                <w:lang w:bidi="ar"/>
              </w:rPr>
              <w:t>3.1</w:t>
            </w:r>
          </w:p>
        </w:tc>
        <w:tc>
          <w:tcPr>
            <w:tcW w:w="106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40B14F3D">
            <w:pPr>
              <w:rPr>
                <w:rFonts w:hint="eastAsia"/>
              </w:rPr>
            </w:pPr>
          </w:p>
        </w:tc>
        <w:tc>
          <w:tcPr>
            <w:tcW w:w="141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6D39AFB9">
            <w:pPr>
              <w:rPr>
                <w:rFonts w:hint="eastAsia"/>
              </w:rPr>
            </w:pPr>
            <w:r>
              <w:rPr>
                <w:lang w:bidi="ar"/>
              </w:rPr>
              <w:t>低压受电柜</w:t>
            </w:r>
          </w:p>
        </w:tc>
        <w:tc>
          <w:tcPr>
            <w:tcW w:w="65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591740DF">
            <w:pPr>
              <w:rPr>
                <w:rFonts w:hint="eastAsia"/>
              </w:rPr>
            </w:pPr>
            <w:r>
              <w:rPr>
                <w:lang w:bidi="ar"/>
              </w:rPr>
              <w:t>主开关 NA1-</w:t>
            </w:r>
            <w:r>
              <w:rPr>
                <w:rFonts w:hint="eastAsia"/>
                <w:lang w:bidi="ar"/>
              </w:rPr>
              <w:t>5000</w:t>
            </w:r>
            <w:r>
              <w:rPr>
                <w:lang w:bidi="ar"/>
              </w:rPr>
              <w:t>A 抽出式开关</w:t>
            </w:r>
          </w:p>
        </w:tc>
        <w:tc>
          <w:tcPr>
            <w:tcW w:w="41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6C207DCE">
            <w:pPr>
              <w:rPr>
                <w:rFonts w:hint="eastAsia"/>
              </w:rPr>
            </w:pPr>
            <w:r>
              <w:rPr>
                <w:lang w:bidi="ar"/>
              </w:rPr>
              <w:t>台</w:t>
            </w:r>
          </w:p>
        </w:tc>
        <w:tc>
          <w:tcPr>
            <w:tcW w:w="38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35873D06">
            <w:pPr>
              <w:rPr>
                <w:rFonts w:hint="eastAsia"/>
              </w:rPr>
            </w:pPr>
            <w:r>
              <w:rPr>
                <w:lang w:bidi="ar"/>
              </w:rPr>
              <w:t>1</w:t>
            </w:r>
          </w:p>
        </w:tc>
        <w:tc>
          <w:tcPr>
            <w:tcW w:w="71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203CEC51">
            <w:pPr>
              <w:rPr>
                <w:rFonts w:hint="eastAsia"/>
              </w:rPr>
            </w:pPr>
          </w:p>
        </w:tc>
      </w:tr>
      <w:tr w14:paraId="23F5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058565FE">
            <w:pPr>
              <w:rPr>
                <w:rFonts w:hint="eastAsia"/>
                <w:lang w:bidi="ar"/>
              </w:rPr>
            </w:pPr>
            <w:r>
              <w:rPr>
                <w:lang w:bidi="ar"/>
              </w:rPr>
              <w:t>3.2</w:t>
            </w:r>
          </w:p>
        </w:tc>
        <w:tc>
          <w:tcPr>
            <w:tcW w:w="106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69A6799E">
            <w:pPr>
              <w:rPr>
                <w:rFonts w:hint="eastAsia"/>
              </w:rPr>
            </w:pPr>
          </w:p>
        </w:tc>
        <w:tc>
          <w:tcPr>
            <w:tcW w:w="141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32949304">
            <w:pPr>
              <w:rPr>
                <w:rFonts w:hint="eastAsia"/>
                <w:lang w:bidi="ar"/>
              </w:rPr>
            </w:pPr>
            <w:r>
              <w:rPr>
                <w:rFonts w:hint="eastAsia"/>
                <w:lang w:bidi="ar"/>
              </w:rPr>
              <w:t>低压馈出柜</w:t>
            </w:r>
          </w:p>
        </w:tc>
        <w:tc>
          <w:tcPr>
            <w:tcW w:w="65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08D8DA85">
            <w:pPr>
              <w:rPr>
                <w:rFonts w:hint="eastAsia"/>
                <w:lang w:bidi="ar"/>
              </w:rPr>
            </w:pPr>
          </w:p>
        </w:tc>
        <w:tc>
          <w:tcPr>
            <w:tcW w:w="41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0243E089">
            <w:pPr>
              <w:rPr>
                <w:rFonts w:hint="eastAsia"/>
                <w:lang w:bidi="ar"/>
              </w:rPr>
            </w:pPr>
            <w:r>
              <w:rPr>
                <w:rFonts w:hint="eastAsia"/>
                <w:lang w:bidi="ar"/>
              </w:rPr>
              <w:t>台</w:t>
            </w:r>
          </w:p>
        </w:tc>
        <w:tc>
          <w:tcPr>
            <w:tcW w:w="38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01098E70">
            <w:pPr>
              <w:rPr>
                <w:rFonts w:hint="eastAsia"/>
                <w:lang w:bidi="ar"/>
              </w:rPr>
            </w:pPr>
            <w:r>
              <w:rPr>
                <w:rFonts w:hint="eastAsia"/>
                <w:lang w:bidi="ar"/>
              </w:rPr>
              <w:t>2</w:t>
            </w:r>
          </w:p>
        </w:tc>
        <w:tc>
          <w:tcPr>
            <w:tcW w:w="71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66AA07AC">
            <w:pPr>
              <w:rPr>
                <w:rFonts w:hint="eastAsia"/>
              </w:rPr>
            </w:pPr>
          </w:p>
        </w:tc>
      </w:tr>
      <w:tr w14:paraId="427C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150C27FD">
            <w:pPr>
              <w:rPr>
                <w:rFonts w:hint="eastAsia"/>
                <w:lang w:bidi="ar"/>
              </w:rPr>
            </w:pPr>
            <w:r>
              <w:rPr>
                <w:lang w:bidi="ar"/>
              </w:rPr>
              <w:t>3.3</w:t>
            </w:r>
          </w:p>
        </w:tc>
        <w:tc>
          <w:tcPr>
            <w:tcW w:w="106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0E66C9AA">
            <w:pPr>
              <w:rPr>
                <w:rFonts w:hint="eastAsia"/>
              </w:rPr>
            </w:pPr>
          </w:p>
        </w:tc>
        <w:tc>
          <w:tcPr>
            <w:tcW w:w="141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18532D71">
            <w:pPr>
              <w:rPr>
                <w:rFonts w:hint="eastAsia"/>
                <w:lang w:bidi="ar"/>
              </w:rPr>
            </w:pPr>
            <w:r>
              <w:rPr>
                <w:rFonts w:hint="eastAsia"/>
                <w:lang w:bidi="ar"/>
              </w:rPr>
              <w:t>干式变压器</w:t>
            </w:r>
          </w:p>
        </w:tc>
        <w:tc>
          <w:tcPr>
            <w:tcW w:w="65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4A0301BF">
            <w:pPr>
              <w:rPr>
                <w:rFonts w:hint="eastAsia"/>
                <w:lang w:bidi="ar"/>
              </w:rPr>
            </w:pPr>
            <w:r>
              <w:rPr>
                <w:rFonts w:hint="eastAsia"/>
                <w:lang w:bidi="ar"/>
              </w:rPr>
              <w:t>2500KVA</w:t>
            </w:r>
          </w:p>
        </w:tc>
        <w:tc>
          <w:tcPr>
            <w:tcW w:w="41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7066D0FA">
            <w:pPr>
              <w:rPr>
                <w:rFonts w:hint="eastAsia"/>
                <w:lang w:bidi="ar"/>
              </w:rPr>
            </w:pPr>
            <w:r>
              <w:rPr>
                <w:rFonts w:hint="eastAsia"/>
                <w:lang w:bidi="ar"/>
              </w:rPr>
              <w:t>台</w:t>
            </w:r>
          </w:p>
        </w:tc>
        <w:tc>
          <w:tcPr>
            <w:tcW w:w="38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336C09CC">
            <w:pPr>
              <w:rPr>
                <w:rFonts w:hint="eastAsia"/>
                <w:lang w:bidi="ar"/>
              </w:rPr>
            </w:pPr>
            <w:r>
              <w:rPr>
                <w:rFonts w:hint="eastAsia"/>
                <w:lang w:bidi="ar"/>
              </w:rPr>
              <w:t>1</w:t>
            </w:r>
          </w:p>
        </w:tc>
        <w:tc>
          <w:tcPr>
            <w:tcW w:w="71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52C09E11">
            <w:pPr>
              <w:rPr>
                <w:rFonts w:hint="eastAsia"/>
              </w:rPr>
            </w:pPr>
          </w:p>
        </w:tc>
      </w:tr>
      <w:tr w14:paraId="2539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48BFA638">
            <w:pPr>
              <w:rPr>
                <w:rFonts w:hint="eastAsia"/>
                <w:lang w:bidi="ar"/>
              </w:rPr>
            </w:pPr>
            <w:r>
              <w:rPr>
                <w:rFonts w:hint="eastAsia"/>
                <w:lang w:bidi="ar"/>
              </w:rPr>
              <w:t>3</w:t>
            </w:r>
            <w:r>
              <w:rPr>
                <w:lang w:bidi="ar"/>
              </w:rPr>
              <w:t>.4</w:t>
            </w:r>
          </w:p>
        </w:tc>
        <w:tc>
          <w:tcPr>
            <w:tcW w:w="106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7B58953F">
            <w:pPr>
              <w:rPr>
                <w:rFonts w:hint="eastAsia"/>
              </w:rPr>
            </w:pPr>
          </w:p>
        </w:tc>
        <w:tc>
          <w:tcPr>
            <w:tcW w:w="141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1062891A">
            <w:pPr>
              <w:rPr>
                <w:rFonts w:hint="eastAsia"/>
                <w:lang w:bidi="ar"/>
              </w:rPr>
            </w:pPr>
            <w:r>
              <w:rPr>
                <w:rFonts w:hint="eastAsia"/>
                <w:lang w:bidi="ar"/>
              </w:rPr>
              <w:t>低压电缆</w:t>
            </w:r>
          </w:p>
        </w:tc>
        <w:tc>
          <w:tcPr>
            <w:tcW w:w="65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2F325D9F">
            <w:pPr>
              <w:rPr>
                <w:rFonts w:hint="eastAsia"/>
                <w:lang w:bidi="ar"/>
              </w:rPr>
            </w:pPr>
            <w:r>
              <w:rPr>
                <w:lang w:bidi="ar"/>
              </w:rPr>
              <w:t>ZR-YJV22-1kv-3*185+2*95</w:t>
            </w:r>
          </w:p>
        </w:tc>
        <w:tc>
          <w:tcPr>
            <w:tcW w:w="41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3A3E78ED">
            <w:pPr>
              <w:rPr>
                <w:rFonts w:hint="eastAsia"/>
                <w:lang w:bidi="ar"/>
              </w:rPr>
            </w:pPr>
            <w:r>
              <w:rPr>
                <w:rFonts w:hint="eastAsia"/>
                <w:lang w:bidi="ar"/>
              </w:rPr>
              <w:t>米</w:t>
            </w:r>
          </w:p>
        </w:tc>
        <w:tc>
          <w:tcPr>
            <w:tcW w:w="38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09B1DF9D">
            <w:pPr>
              <w:rPr>
                <w:rFonts w:hint="eastAsia"/>
                <w:lang w:bidi="ar"/>
              </w:rPr>
            </w:pPr>
            <w:r>
              <w:rPr>
                <w:rFonts w:hint="eastAsia"/>
                <w:lang w:bidi="ar"/>
              </w:rPr>
              <w:t>6</w:t>
            </w:r>
            <w:r>
              <w:rPr>
                <w:lang w:bidi="ar"/>
              </w:rPr>
              <w:t>0</w:t>
            </w:r>
          </w:p>
        </w:tc>
        <w:tc>
          <w:tcPr>
            <w:tcW w:w="71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07DC3067">
            <w:pPr>
              <w:rPr>
                <w:rFonts w:hint="eastAsia"/>
              </w:rPr>
            </w:pPr>
          </w:p>
        </w:tc>
      </w:tr>
      <w:tr w14:paraId="145B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2CC52CDD">
            <w:pPr>
              <w:rPr>
                <w:rFonts w:hint="eastAsia"/>
                <w:lang w:bidi="ar"/>
              </w:rPr>
            </w:pPr>
            <w:r>
              <w:rPr>
                <w:rFonts w:hint="eastAsia"/>
                <w:lang w:bidi="ar"/>
              </w:rPr>
              <w:t>3</w:t>
            </w:r>
            <w:r>
              <w:rPr>
                <w:lang w:bidi="ar"/>
              </w:rPr>
              <w:t>.5</w:t>
            </w:r>
          </w:p>
        </w:tc>
        <w:tc>
          <w:tcPr>
            <w:tcW w:w="106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2356F3AD">
            <w:pPr>
              <w:rPr>
                <w:rFonts w:hint="eastAsia"/>
              </w:rPr>
            </w:pPr>
          </w:p>
        </w:tc>
        <w:tc>
          <w:tcPr>
            <w:tcW w:w="141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59CF0212">
            <w:pPr>
              <w:rPr>
                <w:rFonts w:hint="eastAsia"/>
                <w:lang w:bidi="ar"/>
              </w:rPr>
            </w:pPr>
            <w:r>
              <w:rPr>
                <w:rFonts w:hint="eastAsia"/>
                <w:lang w:bidi="ar"/>
              </w:rPr>
              <w:t>防火桥架</w:t>
            </w:r>
          </w:p>
        </w:tc>
        <w:tc>
          <w:tcPr>
            <w:tcW w:w="65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758F5EA7">
            <w:pPr>
              <w:rPr>
                <w:rFonts w:hint="eastAsia"/>
                <w:lang w:bidi="ar"/>
              </w:rPr>
            </w:pPr>
            <w:r>
              <w:rPr>
                <w:rFonts w:hint="eastAsia"/>
                <w:lang w:bidi="ar"/>
              </w:rPr>
              <w:t>2</w:t>
            </w:r>
            <w:r>
              <w:rPr>
                <w:lang w:bidi="ar"/>
              </w:rPr>
              <w:t>00X200</w:t>
            </w:r>
          </w:p>
        </w:tc>
        <w:tc>
          <w:tcPr>
            <w:tcW w:w="413"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182F1F03">
            <w:pPr>
              <w:rPr>
                <w:rFonts w:hint="eastAsia"/>
                <w:lang w:bidi="ar"/>
              </w:rPr>
            </w:pPr>
            <w:r>
              <w:rPr>
                <w:rFonts w:hint="eastAsia"/>
                <w:lang w:bidi="ar"/>
              </w:rPr>
              <w:t>米</w:t>
            </w:r>
          </w:p>
        </w:tc>
        <w:tc>
          <w:tcPr>
            <w:tcW w:w="382"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62C570C2">
            <w:pPr>
              <w:rPr>
                <w:rFonts w:hint="eastAsia"/>
                <w:lang w:bidi="ar"/>
              </w:rPr>
            </w:pPr>
            <w:r>
              <w:rPr>
                <w:rFonts w:hint="eastAsia"/>
                <w:lang w:bidi="ar"/>
              </w:rPr>
              <w:t>6</w:t>
            </w:r>
            <w:r>
              <w:rPr>
                <w:lang w:bidi="ar"/>
              </w:rPr>
              <w:t>0</w:t>
            </w:r>
          </w:p>
        </w:tc>
        <w:tc>
          <w:tcPr>
            <w:tcW w:w="710" w:type="pct"/>
            <w:tcBorders>
              <w:top w:val="single" w:color="000000" w:sz="4" w:space="0"/>
              <w:left w:val="single" w:color="000000" w:sz="4" w:space="0"/>
              <w:bottom w:val="single" w:color="000000" w:sz="4" w:space="0"/>
              <w:right w:val="single" w:color="000000" w:sz="4" w:space="0"/>
            </w:tcBorders>
            <w:tcMar>
              <w:top w:w="120" w:type="dxa"/>
              <w:left w:w="120" w:type="dxa"/>
              <w:bottom w:w="120" w:type="dxa"/>
              <w:right w:w="120" w:type="dxa"/>
            </w:tcMar>
            <w:vAlign w:val="center"/>
          </w:tcPr>
          <w:p w14:paraId="4B83A4EF">
            <w:pPr>
              <w:rPr>
                <w:rFonts w:hint="eastAsia"/>
              </w:rPr>
            </w:pPr>
          </w:p>
        </w:tc>
      </w:tr>
      <w:tr w14:paraId="4E75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000000" w:sz="4" w:space="0"/>
              <w:left w:val="nil"/>
              <w:bottom w:val="single" w:color="auto" w:sz="4" w:space="0"/>
              <w:right w:val="nil"/>
            </w:tcBorders>
            <w:tcMar>
              <w:top w:w="120" w:type="dxa"/>
              <w:left w:w="120" w:type="dxa"/>
              <w:bottom w:w="120" w:type="dxa"/>
              <w:right w:w="120" w:type="dxa"/>
            </w:tcMar>
            <w:vAlign w:val="center"/>
          </w:tcPr>
          <w:p w14:paraId="09A2A6E7">
            <w:pPr>
              <w:rPr>
                <w:rFonts w:hint="eastAsia"/>
              </w:rPr>
            </w:pPr>
            <w:r>
              <w:rPr>
                <w:rFonts w:hint="eastAsia"/>
              </w:rPr>
              <w:t>四</w:t>
            </w:r>
          </w:p>
        </w:tc>
        <w:tc>
          <w:tcPr>
            <w:tcW w:w="4632" w:type="pct"/>
            <w:gridSpan w:val="6"/>
            <w:tcBorders>
              <w:top w:val="single" w:color="000000" w:sz="4" w:space="0"/>
              <w:left w:val="nil"/>
              <w:bottom w:val="single" w:color="auto" w:sz="4" w:space="0"/>
              <w:right w:val="nil"/>
            </w:tcBorders>
            <w:tcMar>
              <w:top w:w="120" w:type="dxa"/>
              <w:left w:w="120" w:type="dxa"/>
              <w:bottom w:w="120" w:type="dxa"/>
              <w:right w:w="120" w:type="dxa"/>
            </w:tcMar>
            <w:vAlign w:val="center"/>
          </w:tcPr>
          <w:p w14:paraId="7EDF1001">
            <w:pPr>
              <w:rPr>
                <w:rFonts w:hint="eastAsia"/>
              </w:rPr>
            </w:pPr>
            <w:r>
              <w:rPr>
                <w:rStyle w:val="22"/>
                <w:rFonts w:ascii="宋体" w:hAnsi="宋体" w:eastAsia="宋体" w:cs="宋体"/>
                <w:bCs w:val="0"/>
                <w:sz w:val="24"/>
                <w:szCs w:val="24"/>
                <w:lang w:bidi="ar"/>
              </w:rPr>
              <w:t>配套设备及安装工程</w:t>
            </w:r>
          </w:p>
        </w:tc>
      </w:tr>
      <w:tr w14:paraId="5BA5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auto" w:sz="4" w:space="0"/>
            </w:tcBorders>
            <w:tcMar>
              <w:top w:w="120" w:type="dxa"/>
              <w:left w:w="120" w:type="dxa"/>
              <w:bottom w:w="120" w:type="dxa"/>
              <w:right w:w="120" w:type="dxa"/>
            </w:tcMar>
            <w:vAlign w:val="center"/>
          </w:tcPr>
          <w:p w14:paraId="1CC93537">
            <w:pPr>
              <w:rPr>
                <w:rFonts w:hint="eastAsia" w:eastAsiaTheme="minorEastAsia"/>
              </w:rPr>
            </w:pPr>
            <w:r>
              <w:rPr>
                <w:lang w:bidi="ar"/>
              </w:rPr>
              <w:t>4.1</w:t>
            </w:r>
          </w:p>
        </w:tc>
        <w:tc>
          <w:tcPr>
            <w:tcW w:w="1060" w:type="pct"/>
            <w:tcBorders>
              <w:top w:val="single" w:color="auto" w:sz="4" w:space="0"/>
            </w:tcBorders>
            <w:tcMar>
              <w:top w:w="120" w:type="dxa"/>
              <w:left w:w="120" w:type="dxa"/>
              <w:bottom w:w="120" w:type="dxa"/>
              <w:right w:w="120" w:type="dxa"/>
            </w:tcMar>
            <w:vAlign w:val="center"/>
          </w:tcPr>
          <w:p w14:paraId="6E0B409D">
            <w:pPr>
              <w:rPr>
                <w:rFonts w:hint="eastAsia"/>
              </w:rPr>
            </w:pPr>
          </w:p>
        </w:tc>
        <w:tc>
          <w:tcPr>
            <w:tcW w:w="1412" w:type="pct"/>
            <w:tcBorders>
              <w:top w:val="single" w:color="auto" w:sz="4" w:space="0"/>
            </w:tcBorders>
            <w:tcMar>
              <w:top w:w="120" w:type="dxa"/>
              <w:left w:w="120" w:type="dxa"/>
              <w:bottom w:w="120" w:type="dxa"/>
              <w:right w:w="120" w:type="dxa"/>
            </w:tcMar>
            <w:vAlign w:val="center"/>
          </w:tcPr>
          <w:p w14:paraId="40BACBBC">
            <w:pPr>
              <w:rPr>
                <w:rFonts w:hint="eastAsia"/>
              </w:rPr>
            </w:pPr>
            <w:r>
              <w:rPr>
                <w:rFonts w:hint="eastAsia"/>
                <w:lang w:bidi="ar"/>
              </w:rPr>
              <w:t>室内敷设电力电缆</w:t>
            </w:r>
            <w:r>
              <w:rPr>
                <w:lang w:bidi="ar"/>
              </w:rPr>
              <w:t xml:space="preserve"> </w:t>
            </w:r>
            <w:r>
              <w:rPr>
                <w:rFonts w:hint="eastAsia"/>
                <w:lang w:bidi="ar"/>
              </w:rPr>
              <w:t>铜芯电力电缆敷设，高压柜安装</w:t>
            </w:r>
          </w:p>
        </w:tc>
        <w:tc>
          <w:tcPr>
            <w:tcW w:w="653" w:type="pct"/>
            <w:tcBorders>
              <w:top w:val="single" w:color="auto" w:sz="4" w:space="0"/>
            </w:tcBorders>
            <w:tcMar>
              <w:top w:w="120" w:type="dxa"/>
              <w:left w:w="120" w:type="dxa"/>
              <w:bottom w:w="120" w:type="dxa"/>
              <w:right w:w="120" w:type="dxa"/>
            </w:tcMar>
            <w:vAlign w:val="center"/>
          </w:tcPr>
          <w:p w14:paraId="5926B925">
            <w:pPr>
              <w:rPr>
                <w:rFonts w:hint="eastAsia"/>
              </w:rPr>
            </w:pPr>
          </w:p>
        </w:tc>
        <w:tc>
          <w:tcPr>
            <w:tcW w:w="413" w:type="pct"/>
            <w:tcBorders>
              <w:top w:val="single" w:color="auto" w:sz="4" w:space="0"/>
            </w:tcBorders>
            <w:tcMar>
              <w:top w:w="120" w:type="dxa"/>
              <w:left w:w="120" w:type="dxa"/>
              <w:bottom w:w="120" w:type="dxa"/>
              <w:right w:w="120" w:type="dxa"/>
            </w:tcMar>
            <w:vAlign w:val="center"/>
          </w:tcPr>
          <w:p w14:paraId="3D99B614">
            <w:pPr>
              <w:rPr>
                <w:rFonts w:hint="eastAsia"/>
              </w:rPr>
            </w:pPr>
            <w:r>
              <w:rPr>
                <w:rFonts w:hint="eastAsia"/>
              </w:rPr>
              <w:t>项</w:t>
            </w:r>
          </w:p>
        </w:tc>
        <w:tc>
          <w:tcPr>
            <w:tcW w:w="382" w:type="pct"/>
            <w:tcBorders>
              <w:top w:val="single" w:color="auto" w:sz="4" w:space="0"/>
            </w:tcBorders>
            <w:tcMar>
              <w:top w:w="120" w:type="dxa"/>
              <w:left w:w="120" w:type="dxa"/>
              <w:bottom w:w="120" w:type="dxa"/>
              <w:right w:w="120" w:type="dxa"/>
            </w:tcMar>
            <w:vAlign w:val="center"/>
          </w:tcPr>
          <w:p w14:paraId="4CEAFDD9">
            <w:pPr>
              <w:rPr>
                <w:rFonts w:hint="eastAsia"/>
              </w:rPr>
            </w:pPr>
            <w:r>
              <w:rPr>
                <w:rFonts w:hint="eastAsia"/>
              </w:rPr>
              <w:t>1</w:t>
            </w:r>
          </w:p>
        </w:tc>
        <w:tc>
          <w:tcPr>
            <w:tcW w:w="710" w:type="pct"/>
            <w:tcBorders>
              <w:top w:val="single" w:color="auto" w:sz="4" w:space="0"/>
            </w:tcBorders>
            <w:tcMar>
              <w:top w:w="120" w:type="dxa"/>
              <w:left w:w="120" w:type="dxa"/>
              <w:bottom w:w="120" w:type="dxa"/>
              <w:right w:w="120" w:type="dxa"/>
            </w:tcMar>
            <w:vAlign w:val="center"/>
          </w:tcPr>
          <w:p w14:paraId="6E194CD7">
            <w:pPr>
              <w:rPr>
                <w:rFonts w:hint="eastAsia"/>
              </w:rPr>
            </w:pPr>
            <w:r>
              <w:rPr>
                <w:lang w:bidi="ar"/>
              </w:rPr>
              <w:t>含现场搬运、定位、安装、固定、调试、成品保护、现场清理等全部安装工作</w:t>
            </w:r>
          </w:p>
        </w:tc>
      </w:tr>
      <w:tr w14:paraId="1A82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auto" w:sz="4" w:space="0"/>
            </w:tcBorders>
            <w:tcMar>
              <w:top w:w="120" w:type="dxa"/>
              <w:left w:w="120" w:type="dxa"/>
              <w:bottom w:w="120" w:type="dxa"/>
              <w:right w:w="120" w:type="dxa"/>
            </w:tcMar>
            <w:vAlign w:val="center"/>
          </w:tcPr>
          <w:p w14:paraId="7FE65973">
            <w:pPr>
              <w:rPr>
                <w:rFonts w:hint="eastAsia"/>
                <w:lang w:bidi="ar"/>
              </w:rPr>
            </w:pPr>
            <w:r>
              <w:rPr>
                <w:lang w:bidi="ar"/>
              </w:rPr>
              <w:t>4.2</w:t>
            </w:r>
          </w:p>
        </w:tc>
        <w:tc>
          <w:tcPr>
            <w:tcW w:w="1060" w:type="pct"/>
            <w:tcBorders>
              <w:top w:val="single" w:color="auto" w:sz="4" w:space="0"/>
            </w:tcBorders>
            <w:tcMar>
              <w:top w:w="120" w:type="dxa"/>
              <w:left w:w="120" w:type="dxa"/>
              <w:bottom w:w="120" w:type="dxa"/>
              <w:right w:w="120" w:type="dxa"/>
            </w:tcMar>
            <w:vAlign w:val="center"/>
          </w:tcPr>
          <w:p w14:paraId="43027FD2">
            <w:pPr>
              <w:rPr>
                <w:rFonts w:hint="eastAsia"/>
              </w:rPr>
            </w:pPr>
          </w:p>
        </w:tc>
        <w:tc>
          <w:tcPr>
            <w:tcW w:w="1412" w:type="pct"/>
            <w:tcBorders>
              <w:top w:val="single" w:color="auto" w:sz="4" w:space="0"/>
            </w:tcBorders>
            <w:tcMar>
              <w:top w:w="120" w:type="dxa"/>
              <w:left w:w="120" w:type="dxa"/>
              <w:bottom w:w="120" w:type="dxa"/>
              <w:right w:w="120" w:type="dxa"/>
            </w:tcMar>
            <w:vAlign w:val="center"/>
          </w:tcPr>
          <w:p w14:paraId="51EE7C9F">
            <w:pPr>
              <w:rPr>
                <w:rFonts w:hint="eastAsia"/>
                <w:lang w:bidi="ar"/>
              </w:rPr>
            </w:pPr>
            <w:r>
              <w:rPr>
                <w:rFonts w:hint="eastAsia"/>
                <w:lang w:bidi="ar"/>
              </w:rPr>
              <w:t>电力电缆终端头制作安装</w:t>
            </w:r>
            <w:r>
              <w:rPr>
                <w:lang w:bidi="ar"/>
              </w:rPr>
              <w:t xml:space="preserve"> 10kV</w:t>
            </w:r>
            <w:r>
              <w:rPr>
                <w:rFonts w:hint="eastAsia"/>
                <w:lang w:bidi="ar"/>
              </w:rPr>
              <w:t>以下热</w:t>
            </w:r>
            <w:r>
              <w:rPr>
                <w:lang w:bidi="ar"/>
              </w:rPr>
              <w:t>(</w:t>
            </w:r>
            <w:r>
              <w:rPr>
                <w:rFonts w:hint="eastAsia"/>
                <w:lang w:bidi="ar"/>
              </w:rPr>
              <w:t>冷</w:t>
            </w:r>
            <w:r>
              <w:rPr>
                <w:lang w:bidi="ar"/>
              </w:rPr>
              <w:t>)</w:t>
            </w:r>
            <w:r>
              <w:rPr>
                <w:rFonts w:hint="eastAsia"/>
                <w:lang w:bidi="ar"/>
              </w:rPr>
              <w:t>缩式铜芯电力电缆</w:t>
            </w:r>
          </w:p>
        </w:tc>
        <w:tc>
          <w:tcPr>
            <w:tcW w:w="653" w:type="pct"/>
            <w:tcBorders>
              <w:top w:val="single" w:color="auto" w:sz="4" w:space="0"/>
            </w:tcBorders>
            <w:tcMar>
              <w:top w:w="120" w:type="dxa"/>
              <w:left w:w="120" w:type="dxa"/>
              <w:bottom w:w="120" w:type="dxa"/>
              <w:right w:w="120" w:type="dxa"/>
            </w:tcMar>
            <w:vAlign w:val="center"/>
          </w:tcPr>
          <w:p w14:paraId="452FB7BA">
            <w:pPr>
              <w:rPr>
                <w:rFonts w:hint="eastAsia"/>
              </w:rPr>
            </w:pPr>
          </w:p>
        </w:tc>
        <w:tc>
          <w:tcPr>
            <w:tcW w:w="413" w:type="pct"/>
            <w:tcBorders>
              <w:top w:val="single" w:color="auto" w:sz="4" w:space="0"/>
            </w:tcBorders>
            <w:tcMar>
              <w:top w:w="120" w:type="dxa"/>
              <w:left w:w="120" w:type="dxa"/>
              <w:bottom w:w="120" w:type="dxa"/>
              <w:right w:w="120" w:type="dxa"/>
            </w:tcMar>
            <w:vAlign w:val="center"/>
          </w:tcPr>
          <w:p w14:paraId="52A83DD9">
            <w:pPr>
              <w:rPr>
                <w:rFonts w:hint="eastAsia"/>
              </w:rPr>
            </w:pPr>
            <w:r>
              <w:rPr>
                <w:rFonts w:hint="eastAsia"/>
              </w:rPr>
              <w:t>项</w:t>
            </w:r>
          </w:p>
        </w:tc>
        <w:tc>
          <w:tcPr>
            <w:tcW w:w="382" w:type="pct"/>
            <w:tcBorders>
              <w:top w:val="single" w:color="auto" w:sz="4" w:space="0"/>
            </w:tcBorders>
            <w:tcMar>
              <w:top w:w="120" w:type="dxa"/>
              <w:left w:w="120" w:type="dxa"/>
              <w:bottom w:w="120" w:type="dxa"/>
              <w:right w:w="120" w:type="dxa"/>
            </w:tcMar>
            <w:vAlign w:val="center"/>
          </w:tcPr>
          <w:p w14:paraId="1B59A186">
            <w:pPr>
              <w:rPr>
                <w:rFonts w:hint="eastAsia"/>
              </w:rPr>
            </w:pPr>
            <w:r>
              <w:rPr>
                <w:rFonts w:hint="eastAsia"/>
              </w:rPr>
              <w:t>1</w:t>
            </w:r>
          </w:p>
        </w:tc>
        <w:tc>
          <w:tcPr>
            <w:tcW w:w="710" w:type="pct"/>
            <w:tcBorders>
              <w:top w:val="single" w:color="auto" w:sz="4" w:space="0"/>
            </w:tcBorders>
            <w:tcMar>
              <w:top w:w="120" w:type="dxa"/>
              <w:left w:w="120" w:type="dxa"/>
              <w:bottom w:w="120" w:type="dxa"/>
              <w:right w:w="120" w:type="dxa"/>
            </w:tcMar>
            <w:vAlign w:val="center"/>
          </w:tcPr>
          <w:p w14:paraId="5896568A">
            <w:pPr>
              <w:rPr>
                <w:rFonts w:hint="eastAsia"/>
                <w:lang w:bidi="ar"/>
              </w:rPr>
            </w:pPr>
          </w:p>
        </w:tc>
      </w:tr>
      <w:tr w14:paraId="682E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auto" w:sz="4" w:space="0"/>
            </w:tcBorders>
            <w:tcMar>
              <w:top w:w="120" w:type="dxa"/>
              <w:left w:w="120" w:type="dxa"/>
              <w:bottom w:w="120" w:type="dxa"/>
              <w:right w:w="120" w:type="dxa"/>
            </w:tcMar>
            <w:vAlign w:val="center"/>
          </w:tcPr>
          <w:p w14:paraId="258757EA">
            <w:pPr>
              <w:rPr>
                <w:rFonts w:hint="eastAsia"/>
                <w:lang w:bidi="ar"/>
              </w:rPr>
            </w:pPr>
            <w:r>
              <w:rPr>
                <w:lang w:bidi="ar"/>
              </w:rPr>
              <w:t>4.3</w:t>
            </w:r>
          </w:p>
        </w:tc>
        <w:tc>
          <w:tcPr>
            <w:tcW w:w="1060" w:type="pct"/>
            <w:tcBorders>
              <w:top w:val="single" w:color="auto" w:sz="4" w:space="0"/>
            </w:tcBorders>
            <w:tcMar>
              <w:top w:w="120" w:type="dxa"/>
              <w:left w:w="120" w:type="dxa"/>
              <w:bottom w:w="120" w:type="dxa"/>
              <w:right w:w="120" w:type="dxa"/>
            </w:tcMar>
            <w:vAlign w:val="center"/>
          </w:tcPr>
          <w:p w14:paraId="5444846C">
            <w:pPr>
              <w:rPr>
                <w:rFonts w:hint="eastAsia"/>
              </w:rPr>
            </w:pPr>
          </w:p>
        </w:tc>
        <w:tc>
          <w:tcPr>
            <w:tcW w:w="1412" w:type="pct"/>
            <w:tcBorders>
              <w:top w:val="single" w:color="auto" w:sz="4" w:space="0"/>
            </w:tcBorders>
            <w:tcMar>
              <w:top w:w="120" w:type="dxa"/>
              <w:left w:w="120" w:type="dxa"/>
              <w:bottom w:w="120" w:type="dxa"/>
              <w:right w:w="120" w:type="dxa"/>
            </w:tcMar>
            <w:vAlign w:val="center"/>
          </w:tcPr>
          <w:p w14:paraId="639909F6">
            <w:pPr>
              <w:rPr>
                <w:rFonts w:hint="eastAsia"/>
                <w:lang w:bidi="ar"/>
              </w:rPr>
            </w:pPr>
            <w:r>
              <w:rPr>
                <w:rFonts w:hint="eastAsia"/>
                <w:lang w:bidi="ar"/>
              </w:rPr>
              <w:t>桥架安装</w:t>
            </w:r>
          </w:p>
        </w:tc>
        <w:tc>
          <w:tcPr>
            <w:tcW w:w="653" w:type="pct"/>
            <w:tcBorders>
              <w:top w:val="single" w:color="auto" w:sz="4" w:space="0"/>
            </w:tcBorders>
            <w:tcMar>
              <w:top w:w="120" w:type="dxa"/>
              <w:left w:w="120" w:type="dxa"/>
              <w:bottom w:w="120" w:type="dxa"/>
              <w:right w:w="120" w:type="dxa"/>
            </w:tcMar>
            <w:vAlign w:val="center"/>
          </w:tcPr>
          <w:p w14:paraId="011FFD56">
            <w:pPr>
              <w:rPr>
                <w:rFonts w:hint="eastAsia"/>
              </w:rPr>
            </w:pPr>
          </w:p>
        </w:tc>
        <w:tc>
          <w:tcPr>
            <w:tcW w:w="413" w:type="pct"/>
            <w:tcBorders>
              <w:top w:val="single" w:color="auto" w:sz="4" w:space="0"/>
            </w:tcBorders>
            <w:tcMar>
              <w:top w:w="120" w:type="dxa"/>
              <w:left w:w="120" w:type="dxa"/>
              <w:bottom w:w="120" w:type="dxa"/>
              <w:right w:w="120" w:type="dxa"/>
            </w:tcMar>
            <w:vAlign w:val="center"/>
          </w:tcPr>
          <w:p w14:paraId="43466CFC">
            <w:pPr>
              <w:rPr>
                <w:rFonts w:hint="eastAsia"/>
              </w:rPr>
            </w:pPr>
            <w:r>
              <w:rPr>
                <w:rFonts w:hint="eastAsia"/>
              </w:rPr>
              <w:t>项</w:t>
            </w:r>
          </w:p>
        </w:tc>
        <w:tc>
          <w:tcPr>
            <w:tcW w:w="382" w:type="pct"/>
            <w:tcBorders>
              <w:top w:val="single" w:color="auto" w:sz="4" w:space="0"/>
            </w:tcBorders>
            <w:tcMar>
              <w:top w:w="120" w:type="dxa"/>
              <w:left w:w="120" w:type="dxa"/>
              <w:bottom w:w="120" w:type="dxa"/>
              <w:right w:w="120" w:type="dxa"/>
            </w:tcMar>
            <w:vAlign w:val="center"/>
          </w:tcPr>
          <w:p w14:paraId="7FCFE7D8">
            <w:pPr>
              <w:rPr>
                <w:rFonts w:hint="eastAsia"/>
              </w:rPr>
            </w:pPr>
            <w:r>
              <w:rPr>
                <w:rFonts w:hint="eastAsia"/>
              </w:rPr>
              <w:t>1</w:t>
            </w:r>
          </w:p>
        </w:tc>
        <w:tc>
          <w:tcPr>
            <w:tcW w:w="710" w:type="pct"/>
            <w:tcBorders>
              <w:top w:val="single" w:color="auto" w:sz="4" w:space="0"/>
            </w:tcBorders>
            <w:tcMar>
              <w:top w:w="120" w:type="dxa"/>
              <w:left w:w="120" w:type="dxa"/>
              <w:bottom w:w="120" w:type="dxa"/>
              <w:right w:w="120" w:type="dxa"/>
            </w:tcMar>
            <w:vAlign w:val="center"/>
          </w:tcPr>
          <w:p w14:paraId="65FE4F24">
            <w:pPr>
              <w:rPr>
                <w:rFonts w:hint="eastAsia"/>
                <w:lang w:bidi="ar"/>
              </w:rPr>
            </w:pPr>
            <w:r>
              <w:rPr>
                <w:lang w:bidi="ar"/>
              </w:rPr>
              <w:t>含现场搬运、定位、安装、固定、调试、成品保护、现场清理等全部安装工作</w:t>
            </w:r>
          </w:p>
        </w:tc>
      </w:tr>
      <w:tr w14:paraId="1EC4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top w:val="single" w:color="auto" w:sz="4" w:space="0"/>
            </w:tcBorders>
            <w:tcMar>
              <w:top w:w="120" w:type="dxa"/>
              <w:left w:w="120" w:type="dxa"/>
              <w:bottom w:w="120" w:type="dxa"/>
              <w:right w:w="120" w:type="dxa"/>
            </w:tcMar>
            <w:vAlign w:val="center"/>
          </w:tcPr>
          <w:p w14:paraId="6C4892F0">
            <w:pPr>
              <w:rPr>
                <w:rFonts w:hint="eastAsia"/>
              </w:rPr>
            </w:pPr>
            <w:r>
              <w:rPr>
                <w:lang w:bidi="ar"/>
              </w:rPr>
              <w:t>4.4</w:t>
            </w:r>
          </w:p>
        </w:tc>
        <w:tc>
          <w:tcPr>
            <w:tcW w:w="1060" w:type="pct"/>
            <w:tcBorders>
              <w:top w:val="single" w:color="auto" w:sz="4" w:space="0"/>
            </w:tcBorders>
            <w:tcMar>
              <w:top w:w="120" w:type="dxa"/>
              <w:left w:w="120" w:type="dxa"/>
              <w:bottom w:w="120" w:type="dxa"/>
              <w:right w:w="120" w:type="dxa"/>
            </w:tcMar>
            <w:vAlign w:val="center"/>
          </w:tcPr>
          <w:p w14:paraId="3739EAC3">
            <w:pPr>
              <w:rPr>
                <w:rFonts w:hint="eastAsia"/>
              </w:rPr>
            </w:pPr>
          </w:p>
        </w:tc>
        <w:tc>
          <w:tcPr>
            <w:tcW w:w="1412" w:type="pct"/>
            <w:tcBorders>
              <w:top w:val="single" w:color="auto" w:sz="4" w:space="0"/>
            </w:tcBorders>
            <w:tcMar>
              <w:top w:w="120" w:type="dxa"/>
              <w:left w:w="120" w:type="dxa"/>
              <w:bottom w:w="120" w:type="dxa"/>
              <w:right w:w="120" w:type="dxa"/>
            </w:tcMar>
            <w:vAlign w:val="center"/>
          </w:tcPr>
          <w:p w14:paraId="43F01222">
            <w:pPr>
              <w:rPr>
                <w:rFonts w:hint="eastAsia"/>
              </w:rPr>
            </w:pPr>
            <w:r>
              <w:rPr>
                <w:lang w:bidi="ar"/>
              </w:rPr>
              <w:t>母线始端箱</w:t>
            </w:r>
          </w:p>
        </w:tc>
        <w:tc>
          <w:tcPr>
            <w:tcW w:w="653" w:type="pct"/>
            <w:tcBorders>
              <w:top w:val="single" w:color="auto" w:sz="4" w:space="0"/>
            </w:tcBorders>
            <w:tcMar>
              <w:top w:w="120" w:type="dxa"/>
              <w:left w:w="120" w:type="dxa"/>
              <w:bottom w:w="120" w:type="dxa"/>
              <w:right w:w="120" w:type="dxa"/>
            </w:tcMar>
            <w:vAlign w:val="center"/>
          </w:tcPr>
          <w:p w14:paraId="6BF46D47">
            <w:pPr>
              <w:rPr>
                <w:rFonts w:hint="eastAsia"/>
              </w:rPr>
            </w:pPr>
            <w:r>
              <w:rPr>
                <w:lang w:bidi="ar"/>
              </w:rPr>
              <w:t>适配 2500A</w:t>
            </w:r>
          </w:p>
        </w:tc>
        <w:tc>
          <w:tcPr>
            <w:tcW w:w="413" w:type="pct"/>
            <w:tcBorders>
              <w:top w:val="single" w:color="auto" w:sz="4" w:space="0"/>
            </w:tcBorders>
            <w:tcMar>
              <w:top w:w="120" w:type="dxa"/>
              <w:left w:w="120" w:type="dxa"/>
              <w:bottom w:w="120" w:type="dxa"/>
              <w:right w:w="120" w:type="dxa"/>
            </w:tcMar>
            <w:vAlign w:val="center"/>
          </w:tcPr>
          <w:p w14:paraId="1B112F36">
            <w:pPr>
              <w:rPr>
                <w:rFonts w:hint="eastAsia"/>
              </w:rPr>
            </w:pPr>
            <w:r>
              <w:rPr>
                <w:lang w:bidi="ar"/>
              </w:rPr>
              <w:t>只</w:t>
            </w:r>
          </w:p>
        </w:tc>
        <w:tc>
          <w:tcPr>
            <w:tcW w:w="382" w:type="pct"/>
            <w:tcBorders>
              <w:top w:val="single" w:color="auto" w:sz="4" w:space="0"/>
            </w:tcBorders>
            <w:tcMar>
              <w:top w:w="120" w:type="dxa"/>
              <w:left w:w="120" w:type="dxa"/>
              <w:bottom w:w="120" w:type="dxa"/>
              <w:right w:w="120" w:type="dxa"/>
            </w:tcMar>
            <w:vAlign w:val="center"/>
          </w:tcPr>
          <w:p w14:paraId="7D4CEC2D">
            <w:pPr>
              <w:rPr>
                <w:rFonts w:hint="eastAsia"/>
              </w:rPr>
            </w:pPr>
            <w:r>
              <w:rPr>
                <w:lang w:bidi="ar"/>
              </w:rPr>
              <w:t>2</w:t>
            </w:r>
          </w:p>
        </w:tc>
        <w:tc>
          <w:tcPr>
            <w:tcW w:w="710" w:type="pct"/>
            <w:tcBorders>
              <w:top w:val="single" w:color="auto" w:sz="4" w:space="0"/>
            </w:tcBorders>
            <w:tcMar>
              <w:top w:w="120" w:type="dxa"/>
              <w:left w:w="120" w:type="dxa"/>
              <w:bottom w:w="120" w:type="dxa"/>
              <w:right w:w="120" w:type="dxa"/>
            </w:tcMar>
            <w:vAlign w:val="center"/>
          </w:tcPr>
          <w:p w14:paraId="0B0D7815">
            <w:pPr>
              <w:rPr>
                <w:rFonts w:hint="eastAsia"/>
              </w:rPr>
            </w:pPr>
          </w:p>
        </w:tc>
      </w:tr>
      <w:tr w14:paraId="0110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Mar>
              <w:top w:w="120" w:type="dxa"/>
              <w:left w:w="120" w:type="dxa"/>
              <w:bottom w:w="120" w:type="dxa"/>
              <w:right w:w="120" w:type="dxa"/>
            </w:tcMar>
            <w:vAlign w:val="center"/>
          </w:tcPr>
          <w:p w14:paraId="7008F7ED">
            <w:pPr>
              <w:rPr>
                <w:rFonts w:hint="eastAsia"/>
              </w:rPr>
            </w:pPr>
            <w:r>
              <w:rPr>
                <w:lang w:bidi="ar"/>
              </w:rPr>
              <w:t>4.5</w:t>
            </w:r>
          </w:p>
        </w:tc>
        <w:tc>
          <w:tcPr>
            <w:tcW w:w="1060" w:type="pct"/>
            <w:tcMar>
              <w:top w:w="120" w:type="dxa"/>
              <w:left w:w="120" w:type="dxa"/>
              <w:bottom w:w="120" w:type="dxa"/>
              <w:right w:w="120" w:type="dxa"/>
            </w:tcMar>
            <w:vAlign w:val="center"/>
          </w:tcPr>
          <w:p w14:paraId="231C4572">
            <w:pPr>
              <w:rPr>
                <w:rFonts w:hint="eastAsia"/>
              </w:rPr>
            </w:pPr>
          </w:p>
        </w:tc>
        <w:tc>
          <w:tcPr>
            <w:tcW w:w="1412" w:type="pct"/>
            <w:tcMar>
              <w:top w:w="120" w:type="dxa"/>
              <w:left w:w="120" w:type="dxa"/>
              <w:bottom w:w="120" w:type="dxa"/>
              <w:right w:w="120" w:type="dxa"/>
            </w:tcMar>
            <w:vAlign w:val="center"/>
          </w:tcPr>
          <w:p w14:paraId="0EA0F41E">
            <w:pPr>
              <w:rPr>
                <w:rFonts w:hint="eastAsia"/>
              </w:rPr>
            </w:pPr>
            <w:r>
              <w:rPr>
                <w:lang w:bidi="ar"/>
              </w:rPr>
              <w:t>整体母线系统现场安装工程</w:t>
            </w:r>
          </w:p>
        </w:tc>
        <w:tc>
          <w:tcPr>
            <w:tcW w:w="653" w:type="pct"/>
            <w:tcMar>
              <w:top w:w="120" w:type="dxa"/>
              <w:left w:w="120" w:type="dxa"/>
              <w:bottom w:w="120" w:type="dxa"/>
              <w:right w:w="120" w:type="dxa"/>
            </w:tcMar>
            <w:vAlign w:val="center"/>
          </w:tcPr>
          <w:p w14:paraId="4FC1E43C">
            <w:pPr>
              <w:rPr>
                <w:rFonts w:hint="eastAsia"/>
              </w:rPr>
            </w:pPr>
            <w:r>
              <w:rPr>
                <w:lang w:bidi="ar"/>
              </w:rPr>
              <w:t>—</w:t>
            </w:r>
          </w:p>
        </w:tc>
        <w:tc>
          <w:tcPr>
            <w:tcW w:w="413" w:type="pct"/>
            <w:tcMar>
              <w:top w:w="120" w:type="dxa"/>
              <w:left w:w="120" w:type="dxa"/>
              <w:bottom w:w="120" w:type="dxa"/>
              <w:right w:w="120" w:type="dxa"/>
            </w:tcMar>
            <w:vAlign w:val="center"/>
          </w:tcPr>
          <w:p w14:paraId="5C5DBA9F">
            <w:pPr>
              <w:rPr>
                <w:rFonts w:hint="eastAsia"/>
              </w:rPr>
            </w:pPr>
            <w:r>
              <w:rPr>
                <w:lang w:bidi="ar"/>
              </w:rPr>
              <w:t>项</w:t>
            </w:r>
          </w:p>
        </w:tc>
        <w:tc>
          <w:tcPr>
            <w:tcW w:w="382" w:type="pct"/>
            <w:tcMar>
              <w:top w:w="120" w:type="dxa"/>
              <w:left w:w="120" w:type="dxa"/>
              <w:bottom w:w="120" w:type="dxa"/>
              <w:right w:w="120" w:type="dxa"/>
            </w:tcMar>
            <w:vAlign w:val="center"/>
          </w:tcPr>
          <w:p w14:paraId="12CD4406">
            <w:pPr>
              <w:rPr>
                <w:rFonts w:hint="eastAsia"/>
              </w:rPr>
            </w:pPr>
            <w:r>
              <w:rPr>
                <w:lang w:bidi="ar"/>
              </w:rPr>
              <w:t>1</w:t>
            </w:r>
          </w:p>
        </w:tc>
        <w:tc>
          <w:tcPr>
            <w:tcW w:w="710" w:type="pct"/>
            <w:tcMar>
              <w:top w:w="120" w:type="dxa"/>
              <w:left w:w="120" w:type="dxa"/>
              <w:bottom w:w="120" w:type="dxa"/>
              <w:right w:w="120" w:type="dxa"/>
            </w:tcMar>
            <w:vAlign w:val="center"/>
          </w:tcPr>
          <w:p w14:paraId="67B760FC">
            <w:pPr>
              <w:rPr>
                <w:rFonts w:hint="eastAsia"/>
              </w:rPr>
            </w:pPr>
            <w:r>
              <w:rPr>
                <w:lang w:bidi="ar"/>
              </w:rPr>
              <w:t>含现场搬运、定位、安装、固定、调试、成品保护、现场清理等全部安装工作</w:t>
            </w:r>
          </w:p>
        </w:tc>
      </w:tr>
      <w:tr w14:paraId="55FB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7" w:type="pct"/>
            <w:tcBorders>
              <w:bottom w:val="single" w:color="auto" w:sz="4" w:space="0"/>
            </w:tcBorders>
            <w:tcMar>
              <w:top w:w="120" w:type="dxa"/>
              <w:left w:w="120" w:type="dxa"/>
              <w:bottom w:w="120" w:type="dxa"/>
              <w:right w:w="120" w:type="dxa"/>
            </w:tcMar>
            <w:vAlign w:val="center"/>
          </w:tcPr>
          <w:p w14:paraId="74644591">
            <w:pPr>
              <w:rPr>
                <w:rFonts w:hint="eastAsia"/>
                <w:lang w:bidi="ar"/>
              </w:rPr>
            </w:pPr>
            <w:r>
              <w:rPr>
                <w:lang w:bidi="ar"/>
              </w:rPr>
              <w:t>4.6</w:t>
            </w:r>
          </w:p>
        </w:tc>
        <w:tc>
          <w:tcPr>
            <w:tcW w:w="1060" w:type="pct"/>
            <w:tcBorders>
              <w:bottom w:val="single" w:color="auto" w:sz="4" w:space="0"/>
            </w:tcBorders>
            <w:tcMar>
              <w:top w:w="120" w:type="dxa"/>
              <w:left w:w="120" w:type="dxa"/>
              <w:bottom w:w="120" w:type="dxa"/>
              <w:right w:w="120" w:type="dxa"/>
            </w:tcMar>
            <w:vAlign w:val="center"/>
          </w:tcPr>
          <w:p w14:paraId="45CDD432">
            <w:pPr>
              <w:rPr>
                <w:rFonts w:hint="eastAsia"/>
              </w:rPr>
            </w:pPr>
          </w:p>
        </w:tc>
        <w:tc>
          <w:tcPr>
            <w:tcW w:w="1412" w:type="pct"/>
            <w:tcBorders>
              <w:bottom w:val="single" w:color="auto" w:sz="4" w:space="0"/>
            </w:tcBorders>
            <w:tcMar>
              <w:top w:w="120" w:type="dxa"/>
              <w:left w:w="120" w:type="dxa"/>
              <w:bottom w:w="120" w:type="dxa"/>
              <w:right w:w="120" w:type="dxa"/>
            </w:tcMar>
            <w:vAlign w:val="center"/>
          </w:tcPr>
          <w:p w14:paraId="04526599">
            <w:pPr>
              <w:rPr>
                <w:rFonts w:hint="eastAsia"/>
              </w:rPr>
            </w:pPr>
            <w:r>
              <w:rPr>
                <w:rFonts w:hint="eastAsia"/>
              </w:rPr>
              <w:t>低压受电系统现场安装工程</w:t>
            </w:r>
          </w:p>
        </w:tc>
        <w:tc>
          <w:tcPr>
            <w:tcW w:w="653" w:type="pct"/>
            <w:tcBorders>
              <w:bottom w:val="single" w:color="auto" w:sz="4" w:space="0"/>
            </w:tcBorders>
            <w:tcMar>
              <w:top w:w="120" w:type="dxa"/>
              <w:left w:w="120" w:type="dxa"/>
              <w:bottom w:w="120" w:type="dxa"/>
              <w:right w:w="120" w:type="dxa"/>
            </w:tcMar>
            <w:vAlign w:val="center"/>
          </w:tcPr>
          <w:p w14:paraId="6810537B">
            <w:pPr>
              <w:rPr>
                <w:rFonts w:hint="eastAsia"/>
                <w:lang w:bidi="ar"/>
              </w:rPr>
            </w:pPr>
          </w:p>
        </w:tc>
        <w:tc>
          <w:tcPr>
            <w:tcW w:w="413" w:type="pct"/>
            <w:tcBorders>
              <w:bottom w:val="single" w:color="auto" w:sz="4" w:space="0"/>
            </w:tcBorders>
            <w:tcMar>
              <w:top w:w="120" w:type="dxa"/>
              <w:left w:w="120" w:type="dxa"/>
              <w:bottom w:w="120" w:type="dxa"/>
              <w:right w:w="120" w:type="dxa"/>
            </w:tcMar>
            <w:vAlign w:val="center"/>
          </w:tcPr>
          <w:p w14:paraId="555F78AA">
            <w:pPr>
              <w:rPr>
                <w:rFonts w:hint="eastAsia"/>
                <w:lang w:bidi="ar"/>
              </w:rPr>
            </w:pPr>
            <w:r>
              <w:rPr>
                <w:rFonts w:hint="eastAsia"/>
                <w:lang w:bidi="ar"/>
              </w:rPr>
              <w:t xml:space="preserve">项 </w:t>
            </w:r>
          </w:p>
        </w:tc>
        <w:tc>
          <w:tcPr>
            <w:tcW w:w="382" w:type="pct"/>
            <w:tcBorders>
              <w:bottom w:val="single" w:color="auto" w:sz="4" w:space="0"/>
            </w:tcBorders>
            <w:tcMar>
              <w:top w:w="120" w:type="dxa"/>
              <w:left w:w="120" w:type="dxa"/>
              <w:bottom w:w="120" w:type="dxa"/>
              <w:right w:w="120" w:type="dxa"/>
            </w:tcMar>
            <w:vAlign w:val="center"/>
          </w:tcPr>
          <w:p w14:paraId="4AA4E993">
            <w:pPr>
              <w:rPr>
                <w:rFonts w:hint="eastAsia"/>
                <w:lang w:bidi="ar"/>
              </w:rPr>
            </w:pPr>
            <w:r>
              <w:rPr>
                <w:rFonts w:hint="eastAsia"/>
                <w:lang w:bidi="ar"/>
              </w:rPr>
              <w:t>1</w:t>
            </w:r>
          </w:p>
        </w:tc>
        <w:tc>
          <w:tcPr>
            <w:tcW w:w="710" w:type="pct"/>
            <w:tcBorders>
              <w:bottom w:val="single" w:color="auto" w:sz="4" w:space="0"/>
            </w:tcBorders>
            <w:tcMar>
              <w:top w:w="120" w:type="dxa"/>
              <w:left w:w="120" w:type="dxa"/>
              <w:bottom w:w="120" w:type="dxa"/>
              <w:right w:w="120" w:type="dxa"/>
            </w:tcMar>
            <w:vAlign w:val="center"/>
          </w:tcPr>
          <w:p w14:paraId="33A181BF">
            <w:pPr>
              <w:rPr>
                <w:rFonts w:hint="eastAsia"/>
                <w:lang w:bidi="ar"/>
              </w:rPr>
            </w:pPr>
            <w:r>
              <w:rPr>
                <w:lang w:bidi="ar"/>
              </w:rPr>
              <w:t>含现场搬运、定位、安装、固定、调试、成品保护、现场清理等全部安装工作</w:t>
            </w:r>
          </w:p>
        </w:tc>
      </w:tr>
    </w:tbl>
    <w:p w14:paraId="1F691D75">
      <w:pPr>
        <w:keepNext w:val="0"/>
        <w:keepLines w:val="0"/>
        <w:widowControl/>
        <w:suppressLineNumbers w:val="0"/>
        <w:jc w:val="left"/>
        <w:rPr>
          <w:rFonts w:hint="eastAsia" w:ascii="宋体" w:hAnsi="宋体" w:eastAsia="宋体" w:cs="宋体"/>
          <w:snapToGrid w:val="0"/>
          <w:color w:val="000000"/>
          <w:kern w:val="0"/>
          <w:sz w:val="24"/>
          <w:szCs w:val="24"/>
          <w:lang w:val="en-US" w:eastAsia="zh-CN" w:bidi="ar"/>
        </w:rPr>
        <w:sectPr>
          <w:headerReference r:id="rId7" w:type="default"/>
          <w:footerReference r:id="rId8" w:type="default"/>
          <w:pgSz w:w="11905" w:h="16838"/>
          <w:pgMar w:top="1440" w:right="1080" w:bottom="1440" w:left="1080" w:header="851" w:footer="1020" w:gutter="0"/>
          <w:pgBorders>
            <w:top w:val="none" w:sz="0" w:space="0"/>
            <w:left w:val="none" w:sz="0" w:space="0"/>
            <w:bottom w:val="none" w:sz="0" w:space="0"/>
            <w:right w:val="none" w:sz="0" w:space="0"/>
          </w:pgBorders>
          <w:pgNumType w:fmt="decimal"/>
          <w:cols w:space="0" w:num="1"/>
          <w:docGrid w:linePitch="312" w:charSpace="0"/>
        </w:sectPr>
      </w:pPr>
    </w:p>
    <w:p w14:paraId="0E03C4EA">
      <w:pPr>
        <w:spacing w:before="240" w:beforeLines="100" w:after="120" w:afterLines="50" w:line="360" w:lineRule="auto"/>
        <w:jc w:val="center"/>
        <w:outlineLvl w:val="0"/>
        <w:rPr>
          <w:rFonts w:ascii="仿宋" w:hAnsi="仿宋" w:eastAsia="仿宋" w:cs="仿宋"/>
          <w:b/>
          <w:bCs/>
          <w:sz w:val="40"/>
          <w:szCs w:val="40"/>
        </w:rPr>
      </w:pPr>
      <w:bookmarkStart w:id="131" w:name="_Toc1084"/>
      <w:bookmarkStart w:id="132" w:name="_Toc31981"/>
      <w:bookmarkStart w:id="133" w:name="_Toc14009"/>
      <w:bookmarkStart w:id="134" w:name="_Toc2919"/>
      <w:r>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t>七、采购合同（模版</w:t>
      </w:r>
      <w:bookmarkEnd w:id="131"/>
      <w:bookmarkEnd w:id="132"/>
      <w:r>
        <w:rPr>
          <w:rFonts w:hint="eastAsia" w:ascii="宋体" w:hAnsi="宋体" w:eastAsia="宋体" w:cs="宋体"/>
          <w:spacing w:val="-3"/>
          <w:sz w:val="36"/>
          <w:szCs w:val="36"/>
          <w:lang w:val="en-US" w:eastAsia="zh-CN"/>
          <w14:textOutline w14:w="6527" w14:cap="flat" w14:cmpd="sng" w14:algn="ctr">
            <w14:solidFill>
              <w14:srgbClr w14:val="000000"/>
            </w14:solidFill>
            <w14:prstDash w14:val="solid"/>
            <w14:miter w14:val="0"/>
          </w14:textOutline>
        </w:rPr>
        <w:t>）</w:t>
      </w:r>
      <w:bookmarkEnd w:id="133"/>
      <w:bookmarkEnd w:id="134"/>
    </w:p>
    <w:p w14:paraId="793F2503">
      <w:pPr>
        <w:keepNext w:val="0"/>
        <w:keepLines w:val="0"/>
        <w:pageBreakBefore w:val="0"/>
        <w:widowControl w:val="0"/>
        <w:shd w:val="clear" w:color="auto" w:fill="FFFFFF"/>
        <w:kinsoku/>
        <w:wordWrap/>
        <w:overflowPunct/>
        <w:topLinePunct w:val="0"/>
        <w:autoSpaceDE w:val="0"/>
        <w:autoSpaceDN w:val="0"/>
        <w:bidi w:val="0"/>
        <w:adjustRightInd/>
        <w:snapToGrid/>
        <w:spacing w:line="240" w:lineRule="auto"/>
        <w:ind w:left="0" w:leftChars="0" w:right="0"/>
        <w:textAlignment w:val="auto"/>
        <w:rPr>
          <w:rFonts w:hint="eastAsia" w:ascii="仿宋" w:hAnsi="仿宋" w:eastAsia="仿宋" w:cs="仿宋"/>
          <w:b/>
          <w:bCs/>
          <w:sz w:val="24"/>
          <w:szCs w:val="24"/>
          <w:lang w:eastAsia="zh-CN"/>
        </w:rPr>
      </w:pPr>
      <w:r>
        <w:rPr>
          <w:rFonts w:hint="eastAsia" w:ascii="仿宋" w:hAnsi="仿宋" w:eastAsia="仿宋" w:cs="华文仿宋"/>
          <w:sz w:val="24"/>
        </w:rPr>
        <w:t xml:space="preserve">       </w:t>
      </w:r>
      <w:r>
        <w:rPr>
          <w:rFonts w:hint="eastAsia" w:ascii="仿宋" w:hAnsi="仿宋" w:eastAsia="仿宋" w:cs="华文仿宋"/>
          <w:b/>
          <w:bCs/>
          <w:sz w:val="24"/>
        </w:rPr>
        <w:t xml:space="preserve">                                       </w:t>
      </w:r>
      <w:r>
        <w:rPr>
          <w:rFonts w:hint="eastAsia" w:ascii="仿宋" w:hAnsi="仿宋" w:eastAsia="仿宋" w:cs="华文仿宋"/>
          <w:b/>
          <w:bCs/>
          <w:sz w:val="24"/>
          <w:szCs w:val="24"/>
        </w:rPr>
        <w:t xml:space="preserve"> </w:t>
      </w:r>
      <w:r>
        <w:rPr>
          <w:rFonts w:ascii="仿宋" w:hAnsi="仿宋" w:eastAsia="仿宋" w:cs="华文仿宋"/>
          <w:b/>
          <w:bCs/>
          <w:sz w:val="24"/>
          <w:szCs w:val="24"/>
        </w:rPr>
        <w:t xml:space="preserve"> </w:t>
      </w:r>
      <w:r>
        <w:rPr>
          <w:rFonts w:hint="eastAsia" w:ascii="仿宋" w:hAnsi="仿宋" w:eastAsia="仿宋" w:cs="仿宋"/>
          <w:sz w:val="24"/>
          <w:szCs w:val="24"/>
        </w:rPr>
        <w:t>合同编号：</w:t>
      </w:r>
      <w:r>
        <w:rPr>
          <w:rFonts w:hint="eastAsia" w:ascii="仿宋" w:hAnsi="仿宋" w:eastAsia="仿宋" w:cs="仿宋"/>
          <w:sz w:val="24"/>
          <w:szCs w:val="24"/>
          <w:highlight w:val="none"/>
        </w:rPr>
        <w:t xml:space="preserve">  </w:t>
      </w:r>
      <w:r>
        <w:rPr>
          <w:rFonts w:hint="eastAsia" w:ascii="仿宋" w:hAnsi="仿宋" w:eastAsia="仿宋" w:cs="仿宋"/>
          <w:sz w:val="24"/>
          <w:szCs w:val="24"/>
        </w:rPr>
        <w:t xml:space="preserve">         </w:t>
      </w:r>
    </w:p>
    <w:p w14:paraId="5E428CE2">
      <w:pPr>
        <w:keepNext w:val="0"/>
        <w:keepLines w:val="0"/>
        <w:pageBreakBefore w:val="0"/>
        <w:widowControl w:val="0"/>
        <w:kinsoku/>
        <w:wordWrap/>
        <w:overflowPunct/>
        <w:topLinePunct w:val="0"/>
        <w:autoSpaceDE w:val="0"/>
        <w:autoSpaceDN w:val="0"/>
        <w:bidi w:val="0"/>
        <w:adjustRightInd/>
        <w:snapToGrid/>
        <w:spacing w:line="240" w:lineRule="auto"/>
        <w:ind w:left="0" w:leftChars="0" w:right="0"/>
        <w:textAlignment w:val="auto"/>
        <w:rPr>
          <w:rFonts w:hint="eastAsia" w:ascii="仿宋" w:hAnsi="仿宋" w:eastAsia="仿宋" w:cs="仿宋"/>
          <w:sz w:val="24"/>
          <w:szCs w:val="24"/>
        </w:rPr>
      </w:pPr>
      <w:r>
        <w:rPr>
          <w:rFonts w:hint="eastAsia" w:ascii="仿宋" w:hAnsi="仿宋" w:eastAsia="仿宋" w:cs="仿宋"/>
          <w:sz w:val="24"/>
          <w:szCs w:val="24"/>
        </w:rPr>
        <w:t>甲方（</w:t>
      </w:r>
      <w:r>
        <w:rPr>
          <w:rFonts w:hint="eastAsia" w:ascii="仿宋" w:hAnsi="仿宋" w:eastAsia="仿宋" w:cs="仿宋"/>
          <w:sz w:val="24"/>
          <w:szCs w:val="24"/>
          <w:lang w:eastAsia="zh-CN"/>
        </w:rPr>
        <w:t>甲方</w:t>
      </w:r>
      <w:r>
        <w:rPr>
          <w:rFonts w:hint="eastAsia" w:ascii="仿宋" w:hAnsi="仿宋" w:eastAsia="仿宋" w:cs="仿宋"/>
          <w:sz w:val="24"/>
          <w:szCs w:val="24"/>
        </w:rPr>
        <w:t xml:space="preserve">）：中机(泉州)精密装备有限公司 </w:t>
      </w:r>
    </w:p>
    <w:p w14:paraId="6E95E20D">
      <w:pPr>
        <w:keepNext w:val="0"/>
        <w:keepLines w:val="0"/>
        <w:pageBreakBefore w:val="0"/>
        <w:widowControl w:val="0"/>
        <w:kinsoku/>
        <w:wordWrap/>
        <w:overflowPunct/>
        <w:topLinePunct w:val="0"/>
        <w:autoSpaceDE w:val="0"/>
        <w:autoSpaceDN w:val="0"/>
        <w:bidi w:val="0"/>
        <w:adjustRightInd/>
        <w:snapToGrid/>
        <w:spacing w:line="240" w:lineRule="auto"/>
        <w:ind w:left="0" w:leftChars="0" w:right="0" w:firstLine="5760" w:firstLineChars="2400"/>
        <w:textAlignment w:val="auto"/>
        <w:rPr>
          <w:rFonts w:hint="eastAsia" w:ascii="仿宋" w:hAnsi="仿宋" w:eastAsia="仿宋" w:cs="仿宋"/>
          <w:color w:val="0000FF"/>
          <w:sz w:val="24"/>
          <w:szCs w:val="24"/>
        </w:rPr>
      </w:pPr>
      <w:r>
        <w:rPr>
          <w:rFonts w:hint="eastAsia" w:ascii="仿宋" w:hAnsi="仿宋" w:eastAsia="仿宋" w:cs="仿宋"/>
          <w:sz w:val="24"/>
          <w:szCs w:val="24"/>
        </w:rPr>
        <w:t>签订地点：</w:t>
      </w:r>
      <w:r>
        <w:rPr>
          <w:rFonts w:hint="eastAsia" w:ascii="仿宋" w:hAnsi="仿宋" w:eastAsia="仿宋" w:cs="仿宋"/>
          <w:sz w:val="24"/>
          <w:szCs w:val="24"/>
          <w:lang w:val="en-US" w:eastAsia="zh-CN"/>
        </w:rPr>
        <w:t>福建省三明市沙县区</w:t>
      </w:r>
      <w:r>
        <w:rPr>
          <w:rFonts w:hint="eastAsia" w:ascii="仿宋" w:hAnsi="仿宋" w:eastAsia="仿宋" w:cs="仿宋"/>
          <w:sz w:val="24"/>
          <w:szCs w:val="24"/>
          <w:shd w:val="clear" w:color="auto" w:fill="FFFFFF"/>
        </w:rPr>
        <w:t xml:space="preserve"> </w:t>
      </w:r>
    </w:p>
    <w:p w14:paraId="2FCF2036">
      <w:pPr>
        <w:keepNext w:val="0"/>
        <w:keepLines w:val="0"/>
        <w:pageBreakBefore w:val="0"/>
        <w:widowControl w:val="0"/>
        <w:kinsoku/>
        <w:wordWrap/>
        <w:overflowPunct/>
        <w:topLinePunct w:val="0"/>
        <w:autoSpaceDE w:val="0"/>
        <w:autoSpaceDN w:val="0"/>
        <w:bidi w:val="0"/>
        <w:adjustRightInd/>
        <w:snapToGrid/>
        <w:spacing w:line="240" w:lineRule="auto"/>
        <w:ind w:left="0" w:leftChars="0" w:right="0"/>
        <w:textAlignment w:val="auto"/>
        <w:rPr>
          <w:rFonts w:hint="eastAsia" w:ascii="仿宋" w:hAnsi="仿宋" w:eastAsia="仿宋" w:cs="仿宋"/>
          <w:sz w:val="24"/>
          <w:szCs w:val="24"/>
        </w:rPr>
      </w:pPr>
      <w:r>
        <w:rPr>
          <w:rFonts w:hint="eastAsia" w:ascii="仿宋" w:hAnsi="仿宋" w:eastAsia="仿宋" w:cs="仿宋"/>
          <w:sz w:val="24"/>
          <w:szCs w:val="24"/>
        </w:rPr>
        <w:t>乙方（</w:t>
      </w:r>
      <w:r>
        <w:rPr>
          <w:rFonts w:hint="eastAsia" w:ascii="仿宋" w:hAnsi="仿宋" w:eastAsia="仿宋" w:cs="仿宋"/>
          <w:sz w:val="24"/>
          <w:szCs w:val="24"/>
          <w:lang w:eastAsia="zh-CN"/>
        </w:rPr>
        <w:t>乙方</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签订日期：</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年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月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日    </w:t>
      </w:r>
    </w:p>
    <w:p w14:paraId="59C69155">
      <w:pPr>
        <w:pStyle w:val="35"/>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textAlignment w:val="auto"/>
        <w:outlineLvl w:val="9"/>
        <w:rPr>
          <w:rFonts w:hint="eastAsia" w:ascii="仿宋" w:hAnsi="仿宋" w:eastAsia="仿宋" w:cs="仿宋"/>
          <w:sz w:val="24"/>
          <w:szCs w:val="24"/>
        </w:rPr>
      </w:pPr>
      <w:r>
        <w:rPr>
          <w:rFonts w:hint="eastAsia" w:ascii="仿宋" w:hAnsi="仿宋" w:eastAsia="仿宋" w:cs="仿宋"/>
          <w:sz w:val="24"/>
          <w:szCs w:val="24"/>
        </w:rPr>
        <w:t xml:space="preserve">      </w:t>
      </w:r>
      <w:bookmarkStart w:id="135" w:name="_Toc17798"/>
      <w:r>
        <w:rPr>
          <w:rFonts w:hint="eastAsia" w:ascii="仿宋" w:hAnsi="仿宋" w:eastAsia="仿宋" w:cs="仿宋"/>
          <w:sz w:val="24"/>
          <w:szCs w:val="24"/>
          <w:lang w:val="en-US" w:eastAsia="zh-CN"/>
        </w:rPr>
        <w:t>根据</w:t>
      </w:r>
      <w:r>
        <w:rPr>
          <w:rFonts w:hint="eastAsia" w:ascii="仿宋" w:hAnsi="仿宋" w:eastAsia="仿宋" w:cs="仿宋"/>
          <w:sz w:val="24"/>
          <w:szCs w:val="24"/>
        </w:rPr>
        <w:t>《中华人民共和国民法典》，并经甲乙双方友好协商，就以下事项达成一致并签订本合同：</w:t>
      </w:r>
      <w:bookmarkEnd w:id="135"/>
    </w:p>
    <w:p w14:paraId="51B5480E">
      <w:pPr>
        <w:keepNext w:val="0"/>
        <w:keepLines w:val="0"/>
        <w:pageBreakBefore w:val="0"/>
        <w:widowControl w:val="0"/>
        <w:shd w:val="clear" w:color="auto" w:fill="FFFFFF"/>
        <w:kinsoku/>
        <w:wordWrap/>
        <w:overflowPunct/>
        <w:topLinePunct w:val="0"/>
        <w:autoSpaceDE w:val="0"/>
        <w:autoSpaceDN w:val="0"/>
        <w:bidi w:val="0"/>
        <w:adjustRightInd/>
        <w:snapToGrid/>
        <w:spacing w:line="240" w:lineRule="auto"/>
        <w:ind w:left="0" w:leftChars="0" w:right="0"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一、品种、型号、数量</w:t>
      </w:r>
    </w:p>
    <w:p w14:paraId="33CD7596">
      <w:pPr>
        <w:keepNext w:val="0"/>
        <w:keepLines w:val="0"/>
        <w:pageBreakBefore w:val="0"/>
        <w:widowControl w:val="0"/>
        <w:shd w:val="clear" w:color="auto" w:fill="FFFFFF"/>
        <w:kinsoku/>
        <w:wordWrap/>
        <w:overflowPunct/>
        <w:topLinePunct w:val="0"/>
        <w:autoSpaceDE w:val="0"/>
        <w:autoSpaceDN w:val="0"/>
        <w:bidi w:val="0"/>
        <w:adjustRightInd/>
        <w:snapToGrid/>
        <w:spacing w:line="240" w:lineRule="auto"/>
        <w:ind w:left="0" w:leftChars="0" w:right="0"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 xml:space="preserve">1、该项目供应的材料按照设计预算规格、数量具体如下： </w:t>
      </w:r>
    </w:p>
    <w:tbl>
      <w:tblPr>
        <w:tblStyle w:val="19"/>
        <w:tblpPr w:leftFromText="180" w:rightFromText="180" w:vertAnchor="text" w:horzAnchor="page" w:tblpX="1480" w:tblpY="107"/>
        <w:tblOverlap w:val="never"/>
        <w:tblW w:w="93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19"/>
        <w:gridCol w:w="2313"/>
        <w:gridCol w:w="742"/>
        <w:gridCol w:w="930"/>
        <w:gridCol w:w="1456"/>
        <w:gridCol w:w="1768"/>
      </w:tblGrid>
      <w:tr w14:paraId="6358B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119" w:type="dxa"/>
            <w:tcBorders>
              <w:top w:val="single" w:color="000000" w:sz="4" w:space="0"/>
              <w:left w:val="single" w:color="000000" w:sz="4" w:space="0"/>
              <w:bottom w:val="single" w:color="000000" w:sz="4" w:space="0"/>
              <w:right w:val="single" w:color="000000" w:sz="4" w:space="0"/>
            </w:tcBorders>
            <w:noWrap/>
            <w:vAlign w:val="center"/>
          </w:tcPr>
          <w:p w14:paraId="554FCADE">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名称</w:t>
            </w:r>
          </w:p>
        </w:tc>
        <w:tc>
          <w:tcPr>
            <w:tcW w:w="2313" w:type="dxa"/>
            <w:tcBorders>
              <w:top w:val="single" w:color="000000" w:sz="4" w:space="0"/>
              <w:left w:val="single" w:color="000000" w:sz="4" w:space="0"/>
              <w:bottom w:val="single" w:color="000000" w:sz="4" w:space="0"/>
              <w:right w:val="single" w:color="000000" w:sz="4" w:space="0"/>
            </w:tcBorders>
            <w:noWrap/>
            <w:vAlign w:val="center"/>
          </w:tcPr>
          <w:p w14:paraId="112F41AB">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w:t>
            </w: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05D01559">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0D8A0EB3">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1456" w:type="dxa"/>
            <w:tcBorders>
              <w:top w:val="single" w:color="000000" w:sz="4" w:space="0"/>
              <w:left w:val="single" w:color="000000" w:sz="4" w:space="0"/>
              <w:bottom w:val="single" w:color="000000" w:sz="4" w:space="0"/>
              <w:right w:val="single" w:color="000000" w:sz="4" w:space="0"/>
            </w:tcBorders>
            <w:noWrap/>
            <w:vAlign w:val="center"/>
          </w:tcPr>
          <w:p w14:paraId="0A255C34">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单价（元）</w:t>
            </w:r>
          </w:p>
        </w:tc>
        <w:tc>
          <w:tcPr>
            <w:tcW w:w="1768" w:type="dxa"/>
            <w:tcBorders>
              <w:top w:val="single" w:color="000000" w:sz="4" w:space="0"/>
              <w:left w:val="single" w:color="000000" w:sz="4" w:space="0"/>
              <w:bottom w:val="single" w:color="000000" w:sz="4" w:space="0"/>
              <w:right w:val="single" w:color="000000" w:sz="4" w:space="0"/>
            </w:tcBorders>
            <w:noWrap/>
            <w:vAlign w:val="center"/>
          </w:tcPr>
          <w:p w14:paraId="41F7806F">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总价（元）</w:t>
            </w:r>
          </w:p>
        </w:tc>
      </w:tr>
      <w:tr w14:paraId="121F2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119" w:type="dxa"/>
            <w:tcBorders>
              <w:top w:val="single" w:color="000000" w:sz="4" w:space="0"/>
              <w:left w:val="single" w:color="000000" w:sz="4" w:space="0"/>
              <w:bottom w:val="single" w:color="000000" w:sz="4" w:space="0"/>
              <w:right w:val="single" w:color="000000" w:sz="4" w:space="0"/>
            </w:tcBorders>
            <w:noWrap w:val="0"/>
            <w:vAlign w:val="center"/>
          </w:tcPr>
          <w:p w14:paraId="5BE9B41D">
            <w:pPr>
              <w:jc w:val="center"/>
              <w:rPr>
                <w:rFonts w:hint="eastAsia" w:ascii="仿宋" w:hAnsi="仿宋" w:eastAsia="仿宋" w:cs="仿宋"/>
                <w:i w:val="0"/>
                <w:iCs w:val="0"/>
                <w:color w:val="000000"/>
                <w:sz w:val="24"/>
                <w:szCs w:val="24"/>
                <w:u w:val="none"/>
                <w:lang w:val="en-US"/>
              </w:rPr>
            </w:pPr>
          </w:p>
        </w:tc>
        <w:tc>
          <w:tcPr>
            <w:tcW w:w="2313" w:type="dxa"/>
            <w:tcBorders>
              <w:top w:val="single" w:color="000000" w:sz="4" w:space="0"/>
              <w:left w:val="single" w:color="000000" w:sz="4" w:space="0"/>
              <w:bottom w:val="single" w:color="000000" w:sz="4" w:space="0"/>
              <w:right w:val="single" w:color="000000" w:sz="4" w:space="0"/>
            </w:tcBorders>
            <w:noWrap w:val="0"/>
            <w:vAlign w:val="center"/>
          </w:tcPr>
          <w:p w14:paraId="1ACC335A">
            <w:pPr>
              <w:pStyle w:val="9"/>
              <w:ind w:left="0" w:leftChars="0" w:firstLine="0" w:firstLineChars="0"/>
              <w:jc w:val="center"/>
              <w:rPr>
                <w:rFonts w:hint="eastAsia" w:ascii="仿宋" w:hAnsi="仿宋" w:eastAsia="仿宋" w:cs="仿宋"/>
                <w:i w:val="0"/>
                <w:iCs w:val="0"/>
                <w:color w:val="000000"/>
                <w:sz w:val="24"/>
                <w:szCs w:val="24"/>
                <w:u w:val="none"/>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55C91AFB">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rightChars="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Kg</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074D15AA">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lang w:val="en-US"/>
              </w:rPr>
            </w:pPr>
          </w:p>
        </w:tc>
        <w:tc>
          <w:tcPr>
            <w:tcW w:w="1456" w:type="dxa"/>
            <w:tcBorders>
              <w:top w:val="single" w:color="000000" w:sz="4" w:space="0"/>
              <w:left w:val="single" w:color="000000" w:sz="4" w:space="0"/>
              <w:bottom w:val="single" w:color="000000" w:sz="4" w:space="0"/>
              <w:right w:val="single" w:color="000000" w:sz="4" w:space="0"/>
            </w:tcBorders>
            <w:noWrap/>
            <w:vAlign w:val="center"/>
          </w:tcPr>
          <w:p w14:paraId="0A5D2D05">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lang w:val="en-US"/>
              </w:rPr>
            </w:pPr>
          </w:p>
        </w:tc>
        <w:tc>
          <w:tcPr>
            <w:tcW w:w="1768" w:type="dxa"/>
            <w:tcBorders>
              <w:top w:val="single" w:color="000000" w:sz="4" w:space="0"/>
              <w:left w:val="single" w:color="000000" w:sz="4" w:space="0"/>
              <w:bottom w:val="single" w:color="000000" w:sz="4" w:space="0"/>
              <w:right w:val="single" w:color="000000" w:sz="4" w:space="0"/>
            </w:tcBorders>
            <w:noWrap/>
            <w:vAlign w:val="center"/>
          </w:tcPr>
          <w:p w14:paraId="6EBD5C19">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rPr>
            </w:pPr>
          </w:p>
        </w:tc>
      </w:tr>
      <w:tr w14:paraId="70A4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2119" w:type="dxa"/>
            <w:tcBorders>
              <w:top w:val="single" w:color="000000" w:sz="4" w:space="0"/>
              <w:left w:val="single" w:color="000000" w:sz="4" w:space="0"/>
              <w:bottom w:val="single" w:color="000000" w:sz="4" w:space="0"/>
              <w:right w:val="single" w:color="000000" w:sz="4" w:space="0"/>
            </w:tcBorders>
            <w:noWrap w:val="0"/>
            <w:vAlign w:val="center"/>
          </w:tcPr>
          <w:p w14:paraId="7A1F7773">
            <w:pPr>
              <w:jc w:val="center"/>
              <w:rPr>
                <w:rFonts w:hint="eastAsia" w:ascii="仿宋" w:hAnsi="仿宋" w:eastAsia="仿宋" w:cs="仿宋"/>
                <w:i w:val="0"/>
                <w:iCs w:val="0"/>
                <w:color w:val="000000"/>
                <w:kern w:val="0"/>
                <w:sz w:val="24"/>
                <w:szCs w:val="24"/>
                <w:u w:val="none"/>
                <w:lang w:val="en-US" w:eastAsia="zh-CN" w:bidi="ar"/>
              </w:rPr>
            </w:pPr>
          </w:p>
        </w:tc>
        <w:tc>
          <w:tcPr>
            <w:tcW w:w="2313" w:type="dxa"/>
            <w:tcBorders>
              <w:top w:val="single" w:color="000000" w:sz="4" w:space="0"/>
              <w:left w:val="single" w:color="000000" w:sz="4" w:space="0"/>
              <w:bottom w:val="single" w:color="000000" w:sz="4" w:space="0"/>
              <w:right w:val="single" w:color="000000" w:sz="4" w:space="0"/>
            </w:tcBorders>
            <w:noWrap w:val="0"/>
            <w:vAlign w:val="center"/>
          </w:tcPr>
          <w:p w14:paraId="46FEC224">
            <w:pPr>
              <w:pStyle w:val="9"/>
              <w:ind w:left="0" w:leftChars="0" w:firstLine="0" w:firstLineChars="0"/>
              <w:jc w:val="center"/>
              <w:rPr>
                <w:rFonts w:hint="eastAsia" w:ascii="仿宋" w:hAnsi="仿宋" w:eastAsia="仿宋" w:cs="仿宋"/>
                <w:i w:val="0"/>
                <w:iCs w:val="0"/>
                <w:color w:val="000000"/>
                <w:kern w:val="0"/>
                <w:sz w:val="24"/>
                <w:szCs w:val="24"/>
                <w:u w:val="none"/>
                <w:lang w:val="en-US" w:eastAsia="zh-CN" w:bidi="ar"/>
              </w:rPr>
            </w:pPr>
          </w:p>
        </w:tc>
        <w:tc>
          <w:tcPr>
            <w:tcW w:w="742" w:type="dxa"/>
            <w:tcBorders>
              <w:top w:val="single" w:color="000000" w:sz="4" w:space="0"/>
              <w:left w:val="single" w:color="000000" w:sz="4" w:space="0"/>
              <w:bottom w:val="single" w:color="000000" w:sz="4" w:space="0"/>
              <w:right w:val="single" w:color="000000" w:sz="4" w:space="0"/>
            </w:tcBorders>
            <w:noWrap/>
            <w:vAlign w:val="center"/>
          </w:tcPr>
          <w:p w14:paraId="5B8665D2">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Kg</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71A7E485">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lang w:val="en-US"/>
              </w:rPr>
            </w:pPr>
          </w:p>
        </w:tc>
        <w:tc>
          <w:tcPr>
            <w:tcW w:w="1456" w:type="dxa"/>
            <w:tcBorders>
              <w:top w:val="single" w:color="000000" w:sz="4" w:space="0"/>
              <w:left w:val="single" w:color="000000" w:sz="4" w:space="0"/>
              <w:bottom w:val="single" w:color="000000" w:sz="4" w:space="0"/>
              <w:right w:val="single" w:color="000000" w:sz="4" w:space="0"/>
            </w:tcBorders>
            <w:noWrap/>
            <w:vAlign w:val="center"/>
          </w:tcPr>
          <w:p w14:paraId="65A1A282">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lang w:val="en-US"/>
              </w:rPr>
            </w:pPr>
          </w:p>
        </w:tc>
        <w:tc>
          <w:tcPr>
            <w:tcW w:w="1768" w:type="dxa"/>
            <w:tcBorders>
              <w:top w:val="single" w:color="000000" w:sz="4" w:space="0"/>
              <w:left w:val="single" w:color="000000" w:sz="4" w:space="0"/>
              <w:bottom w:val="single" w:color="000000" w:sz="4" w:space="0"/>
              <w:right w:val="single" w:color="000000" w:sz="4" w:space="0"/>
            </w:tcBorders>
            <w:noWrap/>
            <w:vAlign w:val="center"/>
          </w:tcPr>
          <w:p w14:paraId="36813B9B">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rPr>
            </w:pPr>
          </w:p>
        </w:tc>
      </w:tr>
      <w:tr w14:paraId="2490E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432" w:type="dxa"/>
            <w:gridSpan w:val="2"/>
            <w:tcBorders>
              <w:top w:val="single" w:color="000000" w:sz="4" w:space="0"/>
              <w:left w:val="single" w:color="000000" w:sz="4" w:space="0"/>
              <w:bottom w:val="single" w:color="000000" w:sz="4" w:space="0"/>
              <w:right w:val="single" w:color="000000" w:sz="4" w:space="0"/>
            </w:tcBorders>
            <w:noWrap/>
            <w:vAlign w:val="center"/>
          </w:tcPr>
          <w:p w14:paraId="55C1C2C3">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小写金额：￥         .00</w:t>
            </w:r>
          </w:p>
        </w:tc>
        <w:tc>
          <w:tcPr>
            <w:tcW w:w="4896" w:type="dxa"/>
            <w:gridSpan w:val="4"/>
            <w:tcBorders>
              <w:top w:val="single" w:color="000000" w:sz="4" w:space="0"/>
              <w:left w:val="single" w:color="000000" w:sz="4" w:space="0"/>
              <w:bottom w:val="single" w:color="000000" w:sz="4" w:space="0"/>
              <w:right w:val="single" w:color="000000" w:sz="4" w:space="0"/>
            </w:tcBorders>
            <w:noWrap/>
            <w:vAlign w:val="center"/>
          </w:tcPr>
          <w:p w14:paraId="3E42987D">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不含税金额：</w:t>
            </w:r>
            <w:r>
              <w:rPr>
                <w:rFonts w:hint="eastAsia" w:ascii="仿宋" w:hAnsi="仿宋" w:eastAsia="仿宋" w:cs="仿宋"/>
                <w:i w:val="0"/>
                <w:iCs w:val="0"/>
                <w:color w:val="000000"/>
                <w:kern w:val="0"/>
                <w:sz w:val="24"/>
                <w:szCs w:val="24"/>
                <w:u w:val="none"/>
                <w:lang w:val="en-US" w:eastAsia="zh-CN" w:bidi="ar"/>
              </w:rPr>
              <w:t>￥         .00</w:t>
            </w:r>
          </w:p>
        </w:tc>
      </w:tr>
      <w:tr w14:paraId="121C2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432" w:type="dxa"/>
            <w:gridSpan w:val="2"/>
            <w:tcBorders>
              <w:top w:val="single" w:color="000000" w:sz="4" w:space="0"/>
              <w:left w:val="single" w:color="000000" w:sz="4" w:space="0"/>
              <w:bottom w:val="single" w:color="000000" w:sz="4" w:space="0"/>
              <w:right w:val="single" w:color="000000" w:sz="4" w:space="0"/>
            </w:tcBorders>
            <w:noWrap/>
            <w:vAlign w:val="center"/>
          </w:tcPr>
          <w:p w14:paraId="58540B31">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人民币大写：                元整</w:t>
            </w:r>
          </w:p>
        </w:tc>
        <w:tc>
          <w:tcPr>
            <w:tcW w:w="4896" w:type="dxa"/>
            <w:gridSpan w:val="4"/>
            <w:tcBorders>
              <w:top w:val="single" w:color="000000" w:sz="4" w:space="0"/>
              <w:left w:val="single" w:color="000000" w:sz="4" w:space="0"/>
              <w:bottom w:val="single" w:color="000000" w:sz="4" w:space="0"/>
              <w:right w:val="single" w:color="000000" w:sz="4" w:space="0"/>
            </w:tcBorders>
            <w:noWrap/>
            <w:vAlign w:val="center"/>
          </w:tcPr>
          <w:p w14:paraId="0B2820AB">
            <w:pPr>
              <w:keepNext w:val="0"/>
              <w:keepLines w:val="0"/>
              <w:pageBreakBefore w:val="0"/>
              <w:widowControl/>
              <w:suppressLineNumbers w:val="0"/>
              <w:wordWrap/>
              <w:overflowPunct/>
              <w:topLinePunct w:val="0"/>
              <w:autoSpaceDE w:val="0"/>
              <w:autoSpaceDN w:val="0"/>
              <w:bidi w:val="0"/>
              <w:adjustRightInd/>
              <w:snapToGrid/>
              <w:spacing w:line="240" w:lineRule="auto"/>
              <w:ind w:left="0" w:leftChars="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含13%增值税票</w:t>
            </w:r>
          </w:p>
        </w:tc>
      </w:tr>
    </w:tbl>
    <w:p w14:paraId="5F6B6E2E">
      <w:pPr>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textAlignment w:val="auto"/>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以上货物价格为固定单价，采购货物的实际数量以</w:t>
      </w:r>
      <w:r>
        <w:rPr>
          <w:rFonts w:hint="eastAsia" w:ascii="仿宋" w:hAnsi="仿宋" w:eastAsia="仿宋" w:cs="华文仿宋"/>
          <w:color w:val="000000"/>
          <w:sz w:val="24"/>
          <w:lang w:val="en-US" w:eastAsia="zh-CN"/>
        </w:rPr>
        <w:t>最终以实际过磅重量结算。</w:t>
      </w:r>
      <w:r>
        <w:rPr>
          <w:rFonts w:hint="eastAsia" w:ascii="仿宋" w:hAnsi="仿宋" w:eastAsia="仿宋" w:cs="华文仿宋"/>
          <w:color w:val="000000"/>
          <w:sz w:val="24"/>
          <w:lang w:val="zh-CN"/>
        </w:rPr>
        <w:t>（</w:t>
      </w:r>
      <w:r>
        <w:rPr>
          <w:rFonts w:hint="eastAsia" w:ascii="仿宋" w:hAnsi="仿宋" w:eastAsia="仿宋" w:cs="华文仿宋"/>
          <w:color w:val="000000"/>
          <w:sz w:val="24"/>
        </w:rPr>
        <w:t>如采购总金额有超过5%-10％范围内需签订补充协议</w:t>
      </w:r>
      <w:r>
        <w:rPr>
          <w:rFonts w:hint="eastAsia" w:ascii="仿宋" w:hAnsi="仿宋" w:eastAsia="仿宋" w:cs="仿宋"/>
          <w:color w:val="000000"/>
          <w:kern w:val="0"/>
          <w:sz w:val="24"/>
        </w:rPr>
        <w:t>）</w:t>
      </w:r>
      <w:r>
        <w:rPr>
          <w:rFonts w:hint="eastAsia" w:ascii="仿宋" w:hAnsi="仿宋" w:eastAsia="仿宋" w:cs="仿宋"/>
          <w:color w:val="000000"/>
          <w:kern w:val="0"/>
          <w:sz w:val="24"/>
          <w:lang w:val="zh-CN"/>
        </w:rPr>
        <w:t>，货物价格包括产品制造、损耗、售后服务、税收｛</w:t>
      </w:r>
      <w:r>
        <w:rPr>
          <w:rFonts w:hint="eastAsia" w:ascii="仿宋" w:hAnsi="仿宋" w:eastAsia="仿宋" w:cs="仿宋"/>
          <w:color w:val="000000"/>
          <w:kern w:val="0"/>
          <w:sz w:val="24"/>
        </w:rPr>
        <w:t>乙方</w:t>
      </w:r>
      <w:r>
        <w:rPr>
          <w:rFonts w:hint="eastAsia" w:ascii="仿宋" w:hAnsi="仿宋" w:eastAsia="仿宋" w:cs="仿宋"/>
          <w:color w:val="000000"/>
          <w:kern w:val="0"/>
          <w:sz w:val="24"/>
          <w:lang w:val="zh-CN"/>
        </w:rPr>
        <w:t xml:space="preserve">提供13%的增值税专用发票（若国家政策法规另有规定的，按新规定执行, 价格调整以不含税价为基准）以及相关规定须交纳的其它费用等。 </w:t>
      </w:r>
      <w:r>
        <w:rPr>
          <w:rFonts w:ascii="仿宋" w:hAnsi="仿宋" w:eastAsia="仿宋" w:cs="仿宋"/>
          <w:color w:val="000000"/>
          <w:kern w:val="0"/>
          <w:sz w:val="24"/>
          <w:lang w:val="zh-CN"/>
        </w:rPr>
        <w:t xml:space="preserve"> </w:t>
      </w:r>
    </w:p>
    <w:p w14:paraId="3D0118D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szCs w:val="24"/>
        </w:rPr>
      </w:pPr>
      <w:r>
        <w:rPr>
          <w:rFonts w:hint="eastAsia" w:ascii="仿宋" w:hAnsi="仿宋" w:eastAsia="仿宋" w:cs="仿宋"/>
          <w:b/>
          <w:bCs/>
          <w:color w:val="000000"/>
          <w:sz w:val="24"/>
          <w:szCs w:val="24"/>
        </w:rPr>
        <w:t>二</w:t>
      </w:r>
      <w:r>
        <w:rPr>
          <w:rFonts w:hint="eastAsia" w:ascii="仿宋" w:hAnsi="仿宋" w:eastAsia="仿宋" w:cs="仿宋"/>
          <w:b w:val="0"/>
          <w:bCs w:val="0"/>
          <w:color w:val="000000"/>
          <w:sz w:val="24"/>
          <w:szCs w:val="24"/>
        </w:rPr>
        <w:t>、质量要求技术标准、供方对质量的条件和期限：</w:t>
      </w:r>
    </w:p>
    <w:p w14:paraId="3A2FCAE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1、按国家标准验收。</w:t>
      </w:r>
    </w:p>
    <w:p w14:paraId="087A4C5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需方收货注意事项：（1）需方有化验设备的，请务必化验合格后才卸货。（2）需方若无化验设备的，请仓管和供方司机一起取样两包并双方签名封存，并在送货单上注明样板包编号并签名确认，各留一包作为产品检测的依据。若需方对产品质量有异议，应自留存样板之日起7天内向供方书面提出：否则，视为需方默认产品质量符合约定。若检测出质量问题，供方只负责按所销售产品的价值赔付，其余责任概不负责。（3）若需方既无化验又不留样，卸货后出现质量问题的，均由需方负责。</w:t>
      </w:r>
    </w:p>
    <w:p w14:paraId="28A009D3">
      <w:pPr>
        <w:keepNext w:val="0"/>
        <w:keepLines w:val="0"/>
        <w:pageBreakBefore w:val="0"/>
        <w:kinsoku/>
        <w:wordWrap/>
        <w:overflowPunct/>
        <w:topLinePunct w:val="0"/>
        <w:autoSpaceDE w:val="0"/>
        <w:autoSpaceDN w:val="0"/>
        <w:bidi w:val="0"/>
        <w:adjustRightInd w:val="0"/>
        <w:spacing w:line="420" w:lineRule="exact"/>
        <w:ind w:firstLine="480" w:firstLineChars="20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2、若产品</w:t>
      </w:r>
      <w:r>
        <w:rPr>
          <w:rFonts w:hint="eastAsia" w:ascii="仿宋" w:hAnsi="仿宋" w:eastAsia="仿宋" w:cs="仿宋"/>
          <w:color w:val="000000"/>
          <w:kern w:val="0"/>
          <w:sz w:val="24"/>
          <w:lang w:val="en-US" w:eastAsia="zh-CN"/>
        </w:rPr>
        <w:t>经检测未达到国家标准的优等品等</w:t>
      </w:r>
      <w:r>
        <w:rPr>
          <w:rFonts w:hint="eastAsia" w:ascii="仿宋" w:hAnsi="仿宋" w:eastAsia="仿宋" w:cs="仿宋"/>
          <w:color w:val="000000"/>
          <w:kern w:val="0"/>
          <w:sz w:val="24"/>
          <w:lang w:val="zh-CN"/>
        </w:rPr>
        <w:t>质量问题，</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lang w:val="zh-CN"/>
        </w:rPr>
        <w:t>方无条件退货，退货的往返运费、延误工期等损失均由</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lang w:val="zh-CN"/>
        </w:rPr>
        <w:t>方承担。</w:t>
      </w:r>
    </w:p>
    <w:p w14:paraId="663B719F">
      <w:pPr>
        <w:keepNext w:val="0"/>
        <w:keepLines w:val="0"/>
        <w:pageBreakBefore w:val="0"/>
        <w:kinsoku/>
        <w:wordWrap/>
        <w:overflowPunct/>
        <w:topLinePunct w:val="0"/>
        <w:autoSpaceDE w:val="0"/>
        <w:autoSpaceDN w:val="0"/>
        <w:bidi w:val="0"/>
        <w:adjustRightInd w:val="0"/>
        <w:spacing w:line="420" w:lineRule="exact"/>
        <w:ind w:left="479"/>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三、交货方式、交货地点、履行地点、接收单位：</w:t>
      </w:r>
    </w:p>
    <w:p w14:paraId="59160C60">
      <w:pPr>
        <w:keepNext w:val="0"/>
        <w:keepLines w:val="0"/>
        <w:pageBreakBefore w:val="0"/>
        <w:kinsoku/>
        <w:wordWrap/>
        <w:overflowPunct/>
        <w:topLinePunct w:val="0"/>
        <w:bidi w:val="0"/>
        <w:spacing w:line="420" w:lineRule="exact"/>
        <w:ind w:firstLine="480" w:firstLineChars="20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1、交货方式：由</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lang w:val="zh-CN"/>
        </w:rPr>
        <w:t>方代办托运至指定地点，运费、</w:t>
      </w:r>
      <w:r>
        <w:rPr>
          <w:rFonts w:hint="eastAsia" w:ascii="仿宋" w:hAnsi="仿宋" w:eastAsia="仿宋" w:cs="仿宋"/>
          <w:color w:val="000000"/>
          <w:kern w:val="0"/>
          <w:sz w:val="24"/>
          <w:lang w:val="en-US" w:eastAsia="zh-CN"/>
        </w:rPr>
        <w:t>过磅</w:t>
      </w:r>
      <w:r>
        <w:rPr>
          <w:rFonts w:hint="eastAsia" w:ascii="仿宋" w:hAnsi="仿宋" w:eastAsia="仿宋" w:cs="仿宋"/>
          <w:color w:val="000000"/>
          <w:kern w:val="0"/>
          <w:sz w:val="24"/>
          <w:lang w:val="zh-CN"/>
        </w:rPr>
        <w:t>费、和运输保险等费用由</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lang w:val="zh-CN"/>
        </w:rPr>
        <w:t>方承担。</w:t>
      </w:r>
    </w:p>
    <w:p w14:paraId="61397C19">
      <w:pPr>
        <w:keepNext w:val="0"/>
        <w:keepLines w:val="0"/>
        <w:pageBreakBefore w:val="0"/>
        <w:kinsoku/>
        <w:wordWrap/>
        <w:overflowPunct/>
        <w:topLinePunct w:val="0"/>
        <w:bidi w:val="0"/>
        <w:spacing w:line="420" w:lineRule="exact"/>
        <w:ind w:firstLine="480" w:firstLineChars="200"/>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zh-CN"/>
        </w:rPr>
        <w:t>2、交货地点：</w:t>
      </w:r>
      <w:r>
        <w:rPr>
          <w:rFonts w:hint="eastAsia" w:ascii="仿宋" w:hAnsi="仿宋" w:eastAsia="仿宋" w:cs="仿宋"/>
          <w:color w:val="000000"/>
          <w:kern w:val="0"/>
          <w:sz w:val="24"/>
          <w:lang w:val="en-US" w:eastAsia="zh-CN"/>
        </w:rPr>
        <w:t>需方指定地点。</w:t>
      </w:r>
    </w:p>
    <w:p w14:paraId="60508C62">
      <w:pPr>
        <w:keepNext w:val="0"/>
        <w:keepLines w:val="0"/>
        <w:pageBreakBefore w:val="0"/>
        <w:kinsoku/>
        <w:wordWrap/>
        <w:overflowPunct/>
        <w:topLinePunct w:val="0"/>
        <w:bidi w:val="0"/>
        <w:spacing w:line="420" w:lineRule="exact"/>
        <w:ind w:firstLine="480" w:firstLineChars="20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3、履行地点：</w:t>
      </w:r>
      <w:r>
        <w:rPr>
          <w:rFonts w:hint="eastAsia" w:ascii="仿宋" w:hAnsi="仿宋" w:eastAsia="仿宋" w:cs="仿宋"/>
          <w:color w:val="000000"/>
          <w:kern w:val="0"/>
          <w:sz w:val="24"/>
          <w:lang w:val="en-US" w:eastAsia="zh-CN"/>
        </w:rPr>
        <w:t xml:space="preserve">福建省三明市沙县区 </w:t>
      </w:r>
      <w:r>
        <w:rPr>
          <w:rFonts w:hint="eastAsia" w:ascii="仿宋" w:hAnsi="仿宋" w:eastAsia="仿宋" w:cs="仿宋"/>
          <w:color w:val="000000"/>
          <w:kern w:val="0"/>
          <w:sz w:val="24"/>
          <w:lang w:val="zh-CN"/>
        </w:rPr>
        <w:t xml:space="preserve"> </w:t>
      </w:r>
    </w:p>
    <w:p w14:paraId="5EAF2219">
      <w:pPr>
        <w:keepNext w:val="0"/>
        <w:keepLines w:val="0"/>
        <w:pageBreakBefore w:val="0"/>
        <w:kinsoku/>
        <w:wordWrap/>
        <w:overflowPunct/>
        <w:topLinePunct w:val="0"/>
        <w:bidi w:val="0"/>
        <w:spacing w:line="420" w:lineRule="exact"/>
        <w:ind w:firstLine="480" w:firstLineChars="200"/>
        <w:rPr>
          <w:rFonts w:hint="eastAsia" w:ascii="仿宋" w:hAnsi="仿宋" w:eastAsia="仿宋" w:cs="仿宋"/>
          <w:color w:val="000000"/>
          <w:kern w:val="0"/>
          <w:sz w:val="24"/>
          <w:lang w:val="zh-CN"/>
        </w:rPr>
      </w:pPr>
      <w:r>
        <w:rPr>
          <w:rFonts w:hint="eastAsia" w:ascii="仿宋" w:hAnsi="仿宋" w:eastAsia="仿宋" w:cs="仿宋"/>
          <w:color w:val="000000"/>
          <w:kern w:val="0"/>
          <w:sz w:val="24"/>
          <w:highlight w:val="none"/>
          <w:lang w:val="zh-CN"/>
        </w:rPr>
        <w:t>4.供货清单：</w:t>
      </w:r>
      <w:r>
        <w:rPr>
          <w:rFonts w:hint="eastAsia" w:ascii="仿宋" w:hAnsi="仿宋" w:eastAsia="仿宋" w:cs="仿宋"/>
          <w:color w:val="000000"/>
          <w:kern w:val="0"/>
          <w:sz w:val="24"/>
          <w:highlight w:val="none"/>
          <w:lang w:val="en-US" w:eastAsia="zh-CN"/>
        </w:rPr>
        <w:t>送货单、过磅单等</w:t>
      </w:r>
      <w:r>
        <w:rPr>
          <w:rFonts w:hint="eastAsia" w:ascii="仿宋" w:hAnsi="仿宋" w:eastAsia="仿宋" w:cs="仿宋"/>
          <w:color w:val="000000"/>
          <w:kern w:val="0"/>
          <w:sz w:val="24"/>
          <w:lang w:val="zh-CN"/>
        </w:rPr>
        <w:t>。</w:t>
      </w:r>
    </w:p>
    <w:p w14:paraId="07D7280E">
      <w:pPr>
        <w:keepNext w:val="0"/>
        <w:keepLines w:val="0"/>
        <w:pageBreakBefore w:val="0"/>
        <w:kinsoku/>
        <w:wordWrap/>
        <w:overflowPunct/>
        <w:topLinePunct w:val="0"/>
        <w:autoSpaceDE w:val="0"/>
        <w:autoSpaceDN w:val="0"/>
        <w:bidi w:val="0"/>
        <w:adjustRightInd w:val="0"/>
        <w:spacing w:line="420" w:lineRule="exact"/>
        <w:ind w:firstLine="480"/>
        <w:rPr>
          <w:rFonts w:hint="default" w:ascii="仿宋" w:hAnsi="仿宋" w:eastAsia="仿宋" w:cs="仿宋"/>
          <w:color w:val="000000"/>
          <w:kern w:val="0"/>
          <w:sz w:val="24"/>
          <w:lang w:val="en-US" w:eastAsia="zh-CN"/>
        </w:rPr>
      </w:pPr>
      <w:r>
        <w:rPr>
          <w:rFonts w:hint="eastAsia" w:ascii="仿宋" w:hAnsi="仿宋" w:eastAsia="仿宋" w:cs="仿宋"/>
          <w:color w:val="000000"/>
          <w:kern w:val="0"/>
          <w:sz w:val="24"/>
          <w:lang w:val="zh-CN"/>
        </w:rPr>
        <w:t>四、交货日期：</w:t>
      </w:r>
      <w:r>
        <w:rPr>
          <w:rFonts w:hint="eastAsia" w:ascii="仿宋" w:hAnsi="仿宋" w:eastAsia="仿宋" w:cs="仿宋"/>
          <w:color w:val="000000"/>
          <w:kern w:val="0"/>
          <w:sz w:val="24"/>
          <w:lang w:val="en-US" w:eastAsia="zh-CN"/>
        </w:rPr>
        <w:t>合同签订后按甲方通知发货数量,2天内发出。</w:t>
      </w:r>
    </w:p>
    <w:p w14:paraId="2ED280D8">
      <w:pPr>
        <w:keepNext w:val="0"/>
        <w:keepLines w:val="0"/>
        <w:pageBreakBefore w:val="0"/>
        <w:kinsoku/>
        <w:wordWrap/>
        <w:overflowPunct/>
        <w:topLinePunct w:val="0"/>
        <w:autoSpaceDE w:val="0"/>
        <w:autoSpaceDN w:val="0"/>
        <w:bidi w:val="0"/>
        <w:adjustRightInd w:val="0"/>
        <w:spacing w:line="420" w:lineRule="exact"/>
        <w:ind w:left="479"/>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五、包装标准与回收方法：满足运输及甲方要求的包装方式，乙方负责包装并承担包装费用。</w:t>
      </w:r>
    </w:p>
    <w:p w14:paraId="3BA0F9E0">
      <w:pPr>
        <w:keepNext w:val="0"/>
        <w:keepLines w:val="0"/>
        <w:pageBreakBefore w:val="0"/>
        <w:tabs>
          <w:tab w:val="left" w:pos="1200"/>
        </w:tabs>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六、验收标准及方法：产品按本合同第二条约定的质量标准进行验收，由甲方和乙方共同完成。乙方在验收前必须向甲方提供产品</w:t>
      </w:r>
      <w:r>
        <w:rPr>
          <w:rFonts w:hint="eastAsia" w:ascii="仿宋" w:hAnsi="仿宋" w:eastAsia="仿宋" w:cs="仿宋"/>
          <w:color w:val="000000"/>
          <w:kern w:val="0"/>
          <w:sz w:val="24"/>
          <w:lang w:val="en-US" w:eastAsia="zh-CN"/>
        </w:rPr>
        <w:t>送货单、过磅单</w:t>
      </w:r>
      <w:r>
        <w:rPr>
          <w:rFonts w:hint="eastAsia" w:ascii="仿宋" w:hAnsi="仿宋" w:eastAsia="仿宋" w:cs="仿宋"/>
          <w:color w:val="000000"/>
          <w:kern w:val="0"/>
          <w:sz w:val="24"/>
          <w:lang w:val="zh-CN"/>
        </w:rPr>
        <w:t>等资料。</w:t>
      </w:r>
    </w:p>
    <w:p w14:paraId="78F0E7D9">
      <w:pPr>
        <w:keepNext w:val="0"/>
        <w:keepLines w:val="0"/>
        <w:pageBreakBefore w:val="0"/>
        <w:kinsoku/>
        <w:wordWrap/>
        <w:overflowPunct/>
        <w:topLinePunct w:val="0"/>
        <w:autoSpaceDE w:val="0"/>
        <w:autoSpaceDN w:val="0"/>
        <w:bidi w:val="0"/>
        <w:adjustRightInd w:val="0"/>
        <w:spacing w:line="420" w:lineRule="exact"/>
        <w:ind w:left="54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验收规则</w:t>
      </w:r>
    </w:p>
    <w:p w14:paraId="604DB5BC">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1、验收标准：所有产品均按国家及行业标准的相关规定、本采购文件、谈判文件及投标样品相关内容进行验收。</w:t>
      </w:r>
    </w:p>
    <w:p w14:paraId="39C0F387">
      <w:pPr>
        <w:keepNext w:val="0"/>
        <w:keepLines w:val="0"/>
        <w:pageBreakBefore w:val="0"/>
        <w:tabs>
          <w:tab w:val="left" w:pos="0"/>
        </w:tabs>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2、验收程序如下：</w:t>
      </w:r>
    </w:p>
    <w:p w14:paraId="1A5FA04A">
      <w:pPr>
        <w:keepNext w:val="0"/>
        <w:keepLines w:val="0"/>
        <w:pageBreakBefore w:val="0"/>
        <w:tabs>
          <w:tab w:val="left" w:pos="0"/>
        </w:tabs>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(1)出厂检验：乙方在产品出厂前，应按产品技术标准规定的检验项目和试验方法进行全面检验。乙方应随同产品出具原产地证书、出厂检验报告及产品质量合格证等，结果必须符合前款验收标准的要求。</w:t>
      </w:r>
    </w:p>
    <w:p w14:paraId="4106DC11">
      <w:pPr>
        <w:keepNext w:val="0"/>
        <w:keepLines w:val="0"/>
        <w:pageBreakBefore w:val="0"/>
        <w:kinsoku/>
        <w:wordWrap/>
        <w:overflowPunct/>
        <w:topLinePunct w:val="0"/>
        <w:bidi w:val="0"/>
        <w:spacing w:line="420" w:lineRule="exact"/>
        <w:ind w:firstLine="480" w:firstLineChars="20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(2）</w:t>
      </w:r>
      <w:r>
        <w:rPr>
          <w:rFonts w:hint="eastAsia" w:ascii="仿宋" w:hAnsi="仿宋" w:eastAsia="仿宋" w:cs="仿宋"/>
          <w:color w:val="000000"/>
          <w:kern w:val="0"/>
          <w:sz w:val="24"/>
        </w:rPr>
        <w:t>最终验收：</w:t>
      </w:r>
      <w:r>
        <w:rPr>
          <w:rFonts w:hint="eastAsia" w:ascii="仿宋" w:hAnsi="仿宋" w:eastAsia="仿宋" w:cs="仿宋"/>
          <w:color w:val="000000"/>
          <w:kern w:val="0"/>
          <w:sz w:val="24"/>
          <w:lang w:val="zh-CN"/>
        </w:rPr>
        <w:t>验收时，乙方所供到场货物与本合同约定的质量标准或样品（产品经双方确认后封样各自保存，出现偏差时以样品为准）不相符，甲方可要求退货，退货的往返运费均由乙方承担。</w:t>
      </w:r>
    </w:p>
    <w:p w14:paraId="63D913BF">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lang w:val="zh-CN"/>
        </w:rPr>
        <w:t>七、结算</w:t>
      </w:r>
      <w:r>
        <w:rPr>
          <w:rFonts w:hint="eastAsia" w:ascii="仿宋" w:hAnsi="仿宋" w:eastAsia="仿宋" w:cs="仿宋"/>
          <w:color w:val="000000"/>
          <w:sz w:val="24"/>
          <w:highlight w:val="none"/>
        </w:rPr>
        <w:t>条件与</w:t>
      </w:r>
      <w:r>
        <w:rPr>
          <w:rFonts w:hint="eastAsia" w:ascii="仿宋" w:hAnsi="仿宋" w:eastAsia="仿宋" w:cs="仿宋"/>
          <w:color w:val="000000"/>
          <w:sz w:val="24"/>
          <w:highlight w:val="none"/>
          <w:lang w:val="zh-CN"/>
        </w:rPr>
        <w:t>方式：</w:t>
      </w:r>
    </w:p>
    <w:p w14:paraId="02E0A9C5">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rPr>
        <w:t>结算条件</w:t>
      </w:r>
    </w:p>
    <w:p w14:paraId="2FD76E5E">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 xml:space="preserve"> </w:t>
      </w:r>
      <w:r>
        <w:rPr>
          <w:rFonts w:hint="eastAsia" w:ascii="仿宋" w:hAnsi="仿宋" w:eastAsia="仿宋" w:cs="仿宋"/>
          <w:color w:val="000000"/>
          <w:sz w:val="24"/>
          <w:highlight w:val="none"/>
          <w:lang w:val="en-US" w:eastAsia="zh-CN"/>
        </w:rPr>
        <w:t>货到甲方指定工厂</w:t>
      </w:r>
      <w:r>
        <w:rPr>
          <w:rFonts w:hint="eastAsia" w:ascii="仿宋" w:hAnsi="仿宋" w:eastAsia="仿宋" w:cs="仿宋"/>
          <w:color w:val="000000"/>
          <w:sz w:val="24"/>
          <w:highlight w:val="none"/>
        </w:rPr>
        <w:t>，要求</w:t>
      </w:r>
      <w:r>
        <w:rPr>
          <w:rFonts w:hint="eastAsia" w:ascii="仿宋" w:hAnsi="仿宋" w:eastAsia="仿宋" w:cs="仿宋"/>
          <w:color w:val="000000"/>
          <w:sz w:val="24"/>
          <w:highlight w:val="none"/>
          <w:lang w:val="en-US" w:eastAsia="zh-CN"/>
        </w:rPr>
        <w:t>乙方提供</w:t>
      </w:r>
      <w:r>
        <w:rPr>
          <w:rFonts w:hint="eastAsia" w:ascii="仿宋" w:hAnsi="仿宋" w:eastAsia="仿宋" w:cs="仿宋"/>
          <w:color w:val="000000"/>
          <w:sz w:val="24"/>
          <w:highlight w:val="none"/>
        </w:rPr>
        <w:t>提交下列单证和文件。</w:t>
      </w:r>
    </w:p>
    <w:p w14:paraId="39248A38">
      <w:pPr>
        <w:keepNext w:val="0"/>
        <w:keepLines w:val="0"/>
        <w:pageBreakBefore w:val="0"/>
        <w:kinsoku/>
        <w:wordWrap/>
        <w:overflowPunct/>
        <w:topLinePunct w:val="0"/>
        <w:bidi w:val="0"/>
        <w:spacing w:line="420" w:lineRule="exact"/>
        <w:ind w:firstLine="480" w:firstLineChars="200"/>
        <w:rPr>
          <w:rFonts w:hint="eastAsia" w:ascii="仿宋" w:hAnsi="仿宋" w:eastAsia="仿宋" w:cs="仿宋"/>
          <w:color w:val="000000"/>
          <w:sz w:val="24"/>
        </w:rPr>
      </w:pPr>
      <w:r>
        <w:rPr>
          <w:rFonts w:hint="eastAsia" w:ascii="仿宋" w:hAnsi="仿宋" w:eastAsia="仿宋" w:cs="仿宋"/>
          <w:color w:val="000000"/>
          <w:sz w:val="24"/>
        </w:rPr>
        <w:t>a.乙方开具合同等额的正式发票。</w:t>
      </w:r>
    </w:p>
    <w:p w14:paraId="00F9B8A6">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rPr>
        <w:t>2</w:t>
      </w:r>
      <w:r>
        <w:rPr>
          <w:rFonts w:ascii="仿宋" w:hAnsi="仿宋" w:eastAsia="仿宋" w:cs="仿宋"/>
          <w:color w:val="000000"/>
          <w:sz w:val="24"/>
        </w:rPr>
        <w:t xml:space="preserve"> </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rPr>
        <w:t>结算方式：预付30%，货到票到验收合格支付60%，质保金10%。</w:t>
      </w:r>
      <w:r>
        <w:rPr>
          <w:rFonts w:hint="eastAsia" w:ascii="仿宋" w:hAnsi="仿宋" w:eastAsia="仿宋" w:cs="仿宋"/>
          <w:color w:val="000000"/>
          <w:sz w:val="24"/>
          <w:szCs w:val="24"/>
          <w:highlight w:val="none"/>
          <w:lang w:val="en-US" w:eastAsia="zh-CN"/>
        </w:rPr>
        <w:t>需方收到供方货物，验收合格后30日内，供方开具全额13%增值税专票，需方将相应合同货款转到供方指定账号。</w:t>
      </w:r>
    </w:p>
    <w:p w14:paraId="349635DA">
      <w:pPr>
        <w:keepNext w:val="0"/>
        <w:keepLines w:val="0"/>
        <w:pageBreakBefore w:val="0"/>
        <w:kinsoku/>
        <w:wordWrap/>
        <w:overflowPunct/>
        <w:topLinePunct w:val="0"/>
        <w:bidi w:val="0"/>
        <w:spacing w:line="420" w:lineRule="exact"/>
        <w:ind w:firstLine="480" w:firstLineChars="200"/>
        <w:rPr>
          <w:rFonts w:hint="eastAsia" w:ascii="仿宋" w:hAnsi="仿宋" w:eastAsia="仿宋" w:cs="仿宋"/>
          <w:color w:val="000000"/>
          <w:sz w:val="24"/>
        </w:rPr>
      </w:pPr>
      <w:r>
        <w:rPr>
          <w:rFonts w:hint="eastAsia" w:ascii="仿宋" w:hAnsi="仿宋" w:eastAsia="仿宋" w:cs="仿宋"/>
          <w:color w:val="000000"/>
          <w:sz w:val="24"/>
          <w:lang w:val="en-US" w:eastAsia="zh-CN"/>
        </w:rPr>
        <w:t>3</w:t>
      </w:r>
      <w:r>
        <w:rPr>
          <w:rFonts w:hint="eastAsia" w:ascii="仿宋" w:hAnsi="仿宋" w:eastAsia="仿宋" w:cs="仿宋"/>
          <w:color w:val="000000"/>
          <w:sz w:val="24"/>
        </w:rPr>
        <w:t>、由于</w:t>
      </w:r>
      <w:r>
        <w:rPr>
          <w:rFonts w:hint="eastAsia" w:ascii="仿宋" w:hAnsi="仿宋" w:eastAsia="仿宋" w:cs="仿宋"/>
          <w:color w:val="000000"/>
          <w:sz w:val="24"/>
          <w:lang w:val="en-US" w:eastAsia="zh-CN"/>
        </w:rPr>
        <w:t>乙</w:t>
      </w:r>
      <w:r>
        <w:rPr>
          <w:rFonts w:hint="eastAsia" w:ascii="仿宋" w:hAnsi="仿宋" w:eastAsia="仿宋" w:cs="仿宋"/>
          <w:color w:val="000000"/>
          <w:sz w:val="24"/>
        </w:rPr>
        <w:t>方开具发票不真实、不合格而引起的一切责任（包括商业责任和法律责任)和损失，由</w:t>
      </w:r>
      <w:r>
        <w:rPr>
          <w:rFonts w:hint="eastAsia" w:ascii="仿宋" w:hAnsi="仿宋" w:eastAsia="仿宋" w:cs="仿宋"/>
          <w:color w:val="000000"/>
          <w:sz w:val="24"/>
          <w:lang w:val="en-US" w:eastAsia="zh-CN"/>
        </w:rPr>
        <w:t>乙</w:t>
      </w:r>
      <w:r>
        <w:rPr>
          <w:rFonts w:hint="eastAsia" w:ascii="仿宋" w:hAnsi="仿宋" w:eastAsia="仿宋" w:cs="仿宋"/>
          <w:color w:val="000000"/>
          <w:sz w:val="24"/>
        </w:rPr>
        <w:t>方承担。</w:t>
      </w:r>
    </w:p>
    <w:p w14:paraId="73156A27">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八、质量保证期：</w:t>
      </w:r>
    </w:p>
    <w:p w14:paraId="79541262">
      <w:pPr>
        <w:keepNext w:val="0"/>
        <w:keepLines w:val="0"/>
        <w:pageBreakBefore w:val="0"/>
        <w:widowControl/>
        <w:suppressLineNumbers w:val="0"/>
        <w:kinsoku/>
        <w:wordWrap/>
        <w:overflowPunct/>
        <w:topLinePunct w:val="0"/>
        <w:bidi w:val="0"/>
        <w:spacing w:line="420" w:lineRule="exact"/>
        <w:ind w:firstLine="480" w:firstLineChars="200"/>
        <w:jc w:val="left"/>
        <w:rPr>
          <w:rFonts w:hint="eastAsia" w:ascii="仿宋" w:hAnsi="仿宋" w:eastAsia="仿宋" w:cs="仿宋"/>
          <w:color w:val="000000"/>
          <w:kern w:val="0"/>
          <w:sz w:val="24"/>
          <w:szCs w:val="24"/>
          <w:lang w:val="zh-CN"/>
        </w:rPr>
      </w:pPr>
      <w:r>
        <w:rPr>
          <w:rFonts w:hint="eastAsia" w:ascii="仿宋" w:hAnsi="仿宋" w:eastAsia="仿宋" w:cs="仿宋"/>
          <w:color w:val="000000"/>
          <w:kern w:val="0"/>
          <w:sz w:val="24"/>
          <w:lang w:val="zh-CN"/>
        </w:rPr>
        <w:t>1、质量保证期为：</w:t>
      </w: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lang w:val="zh-CN"/>
        </w:rPr>
        <w:t>年，从全部材料进场经签收之日起计算，在质保期内出现问题，乙方必须免费予以退换。</w:t>
      </w:r>
    </w:p>
    <w:p w14:paraId="060ED77D">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九、产品交接：</w:t>
      </w:r>
    </w:p>
    <w:p w14:paraId="5CC64ECC">
      <w:pPr>
        <w:keepNext w:val="0"/>
        <w:keepLines w:val="0"/>
        <w:pageBreakBefore w:val="0"/>
        <w:widowControl/>
        <w:suppressLineNumbers w:val="0"/>
        <w:kinsoku/>
        <w:wordWrap/>
        <w:overflowPunct/>
        <w:topLinePunct w:val="0"/>
        <w:bidi w:val="0"/>
        <w:spacing w:line="420" w:lineRule="exact"/>
        <w:ind w:firstLine="480" w:firstLineChars="200"/>
        <w:jc w:val="left"/>
        <w:rPr>
          <w:rFonts w:hint="eastAsia" w:ascii="仿宋" w:hAnsi="仿宋" w:eastAsia="仿宋" w:cs="仿宋"/>
          <w:color w:val="000000"/>
          <w:kern w:val="0"/>
          <w:sz w:val="24"/>
          <w:szCs w:val="24"/>
          <w:lang w:val="zh-CN"/>
        </w:rPr>
      </w:pPr>
      <w:r>
        <w:rPr>
          <w:rFonts w:hint="eastAsia" w:ascii="仿宋" w:hAnsi="仿宋" w:eastAsia="仿宋" w:cs="仿宋"/>
          <w:color w:val="000000"/>
          <w:kern w:val="0"/>
          <w:sz w:val="24"/>
          <w:lang w:val="zh-CN"/>
        </w:rPr>
        <w:t>甲方根据产品交接清单清点数量，检查产品外观质量。数量清点当场验收，质量验收以检测结果为准，</w:t>
      </w:r>
      <w:r>
        <w:rPr>
          <w:rFonts w:hint="eastAsia" w:ascii="仿宋" w:hAnsi="仿宋" w:eastAsia="仿宋" w:cs="仿宋"/>
          <w:b w:val="0"/>
          <w:bCs w:val="0"/>
          <w:color w:val="000000"/>
          <w:kern w:val="0"/>
          <w:sz w:val="24"/>
          <w:szCs w:val="24"/>
          <w:lang w:val="en-US" w:eastAsia="zh-CN" w:bidi="ar"/>
        </w:rPr>
        <w:t>发现货物质量规格型号不符，应在交付之日起七日内通知乙方：若涉及产品试用的由双方另行约定；发现货物破损短缺的，应在货物交付时立即向承运人或仓库提出，或交付之日起三日内向乙方提供有关破损短缺的书面证据；甲方怠于通知或不能提供有关证据证明的，视为甲方已接受质量数量符合约定之货物。因货物固有属性引致的缺损应免除乙方责任。</w:t>
      </w:r>
    </w:p>
    <w:p w14:paraId="21F577AF">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lang w:val="zh-CN"/>
        </w:rPr>
        <w:t>十、违</w:t>
      </w:r>
      <w:r>
        <w:rPr>
          <w:rFonts w:hint="eastAsia" w:ascii="仿宋" w:hAnsi="仿宋" w:eastAsia="仿宋" w:cs="仿宋"/>
          <w:color w:val="000000"/>
          <w:kern w:val="0"/>
          <w:sz w:val="24"/>
        </w:rPr>
        <w:t>约责任：</w:t>
      </w:r>
    </w:p>
    <w:p w14:paraId="3B7C9AA1">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rPr>
        <w:t>1、如果乙方未能按合同规定的时间或双方另行确定的延期交货期按时足额交货的（不可抗力除外），每逾期1天，乙方应按迟交货物金额的1%向甲方支付逾期交货的违约金。若乙方逾期交货达30天（含30天）以上的，甲方有权单方解除本合同，乙方仍应按上述约定支付延期交货违约金。若因此给甲方造成损失的，还应赔偿甲方所受的损失。</w:t>
      </w:r>
    </w:p>
    <w:p w14:paraId="404479BF">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rPr>
        <w:t>2.若乙方不能交货的（逾期15个工作日视为不能交货，因不可抗拒的因素除外）或交货不合格从而影响甲方正常使用的，乙方应向甲方偿付不能交货部分货款10%的违约金。违约金不足以补偿损失的，甲方有权要求乙方赔偿损失。</w:t>
      </w:r>
    </w:p>
    <w:p w14:paraId="41E9B40B">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rPr>
        <w:t>3、如果乙方未能按照合同约定的时间提供服务的，每逾期1天的，乙方应按本合同总金额的1</w:t>
      </w:r>
      <w:r>
        <w:rPr>
          <w:rFonts w:ascii="仿宋" w:hAnsi="仿宋" w:eastAsia="仿宋" w:cs="仿宋"/>
          <w:color w:val="000000"/>
          <w:kern w:val="0"/>
          <w:sz w:val="24"/>
        </w:rPr>
        <w:t>%</w:t>
      </w:r>
      <w:r>
        <w:rPr>
          <w:rFonts w:hint="eastAsia" w:ascii="仿宋" w:hAnsi="仿宋" w:eastAsia="仿宋" w:cs="仿宋"/>
          <w:color w:val="000000"/>
          <w:kern w:val="0"/>
          <w:sz w:val="24"/>
        </w:rPr>
        <w:t>向甲方支付违约金，若因此给甲方造成损失的，乙方还应赔偿甲方所受的损失。</w:t>
      </w:r>
    </w:p>
    <w:p w14:paraId="3535DF6A">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rPr>
        <w:t>十</w:t>
      </w:r>
      <w:r>
        <w:rPr>
          <w:rFonts w:hint="eastAsia" w:ascii="仿宋" w:hAnsi="仿宋" w:eastAsia="仿宋" w:cs="仿宋"/>
          <w:color w:val="000000"/>
          <w:kern w:val="0"/>
          <w:sz w:val="24"/>
          <w:lang w:eastAsia="zh-CN"/>
        </w:rPr>
        <w:t>一</w:t>
      </w:r>
      <w:r>
        <w:rPr>
          <w:rFonts w:hint="eastAsia" w:ascii="仿宋" w:hAnsi="仿宋" w:eastAsia="仿宋" w:cs="仿宋"/>
          <w:color w:val="000000"/>
          <w:kern w:val="0"/>
          <w:sz w:val="24"/>
        </w:rPr>
        <w:t>、违约终止合同</w:t>
      </w:r>
    </w:p>
    <w:p w14:paraId="7899C1C6">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rPr>
        <w:t>1</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rPr>
        <w:t>在补救违约而采取的任何其他措施未能实现的情况下，即在甲方发出的违约通知后30天内（或经甲方书面确认的更长时间内）仍未纠正其下述任何一种违约行为，甲方有权向乙方发出书面违约通知，同时甲方有权单方解除本合同。</w:t>
      </w:r>
    </w:p>
    <w:p w14:paraId="4FAF034B">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如果乙方未能在合同规定的期限内或双方另行确定的延期交货时间内交付合同约定的货物。</w:t>
      </w:r>
    </w:p>
    <w:p w14:paraId="7D6623B4">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乙方未能履行合同项下的任何其它义务。</w:t>
      </w:r>
    </w:p>
    <w:p w14:paraId="7956E031">
      <w:pPr>
        <w:keepNext w:val="0"/>
        <w:keepLines w:val="0"/>
        <w:pageBreakBefore w:val="0"/>
        <w:kinsoku/>
        <w:wordWrap/>
        <w:overflowPunct/>
        <w:topLinePunct w:val="0"/>
        <w:autoSpaceDE w:val="0"/>
        <w:autoSpaceDN w:val="0"/>
        <w:bidi w:val="0"/>
        <w:adjustRightInd w:val="0"/>
        <w:spacing w:line="420" w:lineRule="exact"/>
        <w:ind w:firstLine="480"/>
        <w:rPr>
          <w:rFonts w:hint="eastAsia" w:eastAsia="仿宋"/>
          <w:color w:val="000000"/>
          <w:lang w:val="en-US" w:eastAsia="zh-CN"/>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lang w:val="zh-CN"/>
        </w:rPr>
        <w:t>因上述原因造成的合同解除，因</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lang w:val="zh-CN"/>
        </w:rPr>
        <w:t>方责任时应全额退还</w:t>
      </w:r>
      <w:r>
        <w:rPr>
          <w:rFonts w:hint="eastAsia" w:ascii="仿宋" w:hAnsi="仿宋" w:eastAsia="仿宋" w:cs="仿宋"/>
          <w:color w:val="000000"/>
          <w:kern w:val="0"/>
          <w:sz w:val="24"/>
          <w:lang w:val="en-US" w:eastAsia="zh-CN"/>
        </w:rPr>
        <w:t>甲</w:t>
      </w:r>
      <w:r>
        <w:rPr>
          <w:rFonts w:hint="eastAsia" w:ascii="仿宋" w:hAnsi="仿宋" w:eastAsia="仿宋" w:cs="仿宋"/>
          <w:color w:val="000000"/>
          <w:kern w:val="0"/>
          <w:sz w:val="24"/>
          <w:lang w:val="zh-CN"/>
        </w:rPr>
        <w:t>方已付货款，并双倍返还合同预付款。当只能提供部分货物时，视为</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lang w:val="zh-CN"/>
        </w:rPr>
        <w:t>方违约，</w:t>
      </w:r>
      <w:r>
        <w:rPr>
          <w:rFonts w:hint="eastAsia" w:ascii="仿宋" w:hAnsi="仿宋" w:eastAsia="仿宋" w:cs="仿宋"/>
          <w:color w:val="000000"/>
          <w:kern w:val="0"/>
          <w:sz w:val="24"/>
          <w:lang w:val="en-US" w:eastAsia="zh-CN"/>
        </w:rPr>
        <w:t>甲</w:t>
      </w:r>
      <w:r>
        <w:rPr>
          <w:rFonts w:hint="eastAsia" w:ascii="仿宋" w:hAnsi="仿宋" w:eastAsia="仿宋" w:cs="仿宋"/>
          <w:color w:val="000000"/>
          <w:kern w:val="0"/>
          <w:sz w:val="24"/>
          <w:lang w:val="zh-CN"/>
        </w:rPr>
        <w:t>方可另购其余部分</w:t>
      </w:r>
      <w:r>
        <w:rPr>
          <w:rFonts w:hint="eastAsia" w:ascii="仿宋" w:hAnsi="仿宋" w:eastAsia="仿宋" w:cs="仿宋"/>
          <w:color w:val="000000"/>
          <w:kern w:val="0"/>
          <w:sz w:val="24"/>
          <w:lang w:val="en-US" w:eastAsia="zh-CN"/>
        </w:rPr>
        <w:t>材料</w:t>
      </w:r>
      <w:r>
        <w:rPr>
          <w:rFonts w:hint="eastAsia" w:ascii="仿宋" w:hAnsi="仿宋" w:eastAsia="仿宋" w:cs="仿宋"/>
          <w:color w:val="000000"/>
          <w:kern w:val="0"/>
          <w:sz w:val="24"/>
          <w:lang w:val="zh-CN"/>
        </w:rPr>
        <w:t>，</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lang w:val="zh-CN"/>
        </w:rPr>
        <w:t>方应承担购置费用和给</w:t>
      </w:r>
      <w:r>
        <w:rPr>
          <w:rFonts w:hint="eastAsia" w:ascii="仿宋" w:hAnsi="仿宋" w:eastAsia="仿宋" w:cs="仿宋"/>
          <w:color w:val="000000"/>
          <w:kern w:val="0"/>
          <w:sz w:val="24"/>
          <w:lang w:val="en-US" w:eastAsia="zh-CN"/>
        </w:rPr>
        <w:t>甲</w:t>
      </w:r>
      <w:r>
        <w:rPr>
          <w:rFonts w:hint="eastAsia" w:ascii="仿宋" w:hAnsi="仿宋" w:eastAsia="仿宋" w:cs="仿宋"/>
          <w:color w:val="000000"/>
          <w:kern w:val="0"/>
          <w:sz w:val="24"/>
          <w:lang w:val="zh-CN"/>
        </w:rPr>
        <w:t>方带来的相关经济损失并按照合同约定向</w:t>
      </w:r>
      <w:r>
        <w:rPr>
          <w:rFonts w:hint="eastAsia" w:ascii="仿宋" w:hAnsi="仿宋" w:eastAsia="仿宋" w:cs="仿宋"/>
          <w:color w:val="000000"/>
          <w:kern w:val="0"/>
          <w:sz w:val="24"/>
          <w:lang w:val="en-US" w:eastAsia="zh-CN"/>
        </w:rPr>
        <w:t>甲</w:t>
      </w:r>
      <w:r>
        <w:rPr>
          <w:rFonts w:hint="eastAsia" w:ascii="仿宋" w:hAnsi="仿宋" w:eastAsia="仿宋" w:cs="仿宋"/>
          <w:color w:val="000000"/>
          <w:kern w:val="0"/>
          <w:sz w:val="24"/>
          <w:lang w:val="zh-CN"/>
        </w:rPr>
        <w:t>方支付违约金。</w:t>
      </w:r>
    </w:p>
    <w:p w14:paraId="585531D9">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lang w:eastAsia="zh-CN"/>
        </w:rPr>
        <w:t>十二、</w:t>
      </w:r>
      <w:r>
        <w:rPr>
          <w:rFonts w:hint="eastAsia" w:ascii="仿宋" w:hAnsi="仿宋" w:eastAsia="仿宋" w:cs="仿宋"/>
          <w:color w:val="000000"/>
          <w:kern w:val="0"/>
          <w:sz w:val="24"/>
        </w:rPr>
        <w:t>不可抗力</w:t>
      </w:r>
    </w:p>
    <w:p w14:paraId="502D51E1">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rPr>
        <w:t>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14:paraId="0CD3102B">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rPr>
        <w:t>本合同中的不可抗力指不能预见、不能避免并不能克服的客观情况。包括但不限于：自然灾害如地震、台风、洪水、火灾；政府行为、法律规定或其适用的变化或者其他任何无法预见、避免或者控制的事件。</w:t>
      </w:r>
    </w:p>
    <w:p w14:paraId="363CBC91">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十三、</w:t>
      </w:r>
      <w:r>
        <w:rPr>
          <w:rFonts w:hint="eastAsia" w:ascii="仿宋" w:hAnsi="仿宋" w:eastAsia="仿宋" w:cs="仿宋"/>
          <w:color w:val="000000"/>
          <w:kern w:val="0"/>
          <w:sz w:val="24"/>
        </w:rPr>
        <w:t>权利义务转移和违法违规条款</w:t>
      </w:r>
    </w:p>
    <w:p w14:paraId="450ACBEB">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基于诚信原则，本合同项下未经</w:t>
      </w:r>
      <w:r>
        <w:rPr>
          <w:rFonts w:hint="eastAsia" w:ascii="仿宋" w:hAnsi="仿宋" w:eastAsia="仿宋" w:cs="仿宋"/>
          <w:color w:val="000000"/>
          <w:kern w:val="0"/>
          <w:sz w:val="24"/>
          <w:lang w:eastAsia="zh-CN"/>
        </w:rPr>
        <w:t>甲方</w:t>
      </w:r>
      <w:r>
        <w:rPr>
          <w:rFonts w:hint="eastAsia" w:ascii="仿宋" w:hAnsi="仿宋" w:eastAsia="仿宋" w:cs="仿宋"/>
          <w:color w:val="000000"/>
          <w:kern w:val="0"/>
          <w:sz w:val="24"/>
        </w:rPr>
        <w:t>书面同意，</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rPr>
        <w:t>方不得转让或者变相转让本合同的权利义务，否则向</w:t>
      </w:r>
      <w:r>
        <w:rPr>
          <w:rFonts w:hint="eastAsia" w:ascii="仿宋" w:hAnsi="仿宋" w:eastAsia="仿宋" w:cs="仿宋"/>
          <w:color w:val="000000"/>
          <w:kern w:val="0"/>
          <w:sz w:val="24"/>
          <w:lang w:val="en-US" w:eastAsia="zh-CN"/>
        </w:rPr>
        <w:t>甲</w:t>
      </w:r>
      <w:r>
        <w:rPr>
          <w:rFonts w:hint="eastAsia" w:ascii="仿宋" w:hAnsi="仿宋" w:eastAsia="仿宋" w:cs="仿宋"/>
          <w:color w:val="000000"/>
          <w:kern w:val="0"/>
          <w:sz w:val="24"/>
        </w:rPr>
        <w:t>方支付合同总金额30％的违约金。</w:t>
      </w:r>
    </w:p>
    <w:p w14:paraId="42F9FDFC">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在本合同项下如</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rPr>
        <w:t>方违法违规造成</w:t>
      </w:r>
      <w:r>
        <w:rPr>
          <w:rFonts w:hint="eastAsia" w:ascii="仿宋" w:hAnsi="仿宋" w:eastAsia="仿宋" w:cs="仿宋"/>
          <w:color w:val="000000"/>
          <w:kern w:val="0"/>
          <w:sz w:val="24"/>
          <w:lang w:val="en-US" w:eastAsia="zh-CN"/>
        </w:rPr>
        <w:t>甲</w:t>
      </w:r>
      <w:r>
        <w:rPr>
          <w:rFonts w:hint="eastAsia" w:ascii="仿宋" w:hAnsi="仿宋" w:eastAsia="仿宋" w:cs="仿宋"/>
          <w:color w:val="000000"/>
          <w:kern w:val="0"/>
          <w:sz w:val="24"/>
        </w:rPr>
        <w:t>方损失的，</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rPr>
        <w:t>方须全额赔偿，赔偿金额从</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rPr>
        <w:t>方货款或者履约保证金等款项中扣除，不足部分，</w:t>
      </w:r>
      <w:r>
        <w:rPr>
          <w:rFonts w:hint="eastAsia" w:ascii="仿宋" w:hAnsi="仿宋" w:eastAsia="仿宋" w:cs="仿宋"/>
          <w:color w:val="000000"/>
          <w:kern w:val="0"/>
          <w:sz w:val="24"/>
          <w:lang w:val="en-US" w:eastAsia="zh-CN"/>
        </w:rPr>
        <w:t>甲</w:t>
      </w:r>
      <w:r>
        <w:rPr>
          <w:rFonts w:hint="eastAsia" w:ascii="仿宋" w:hAnsi="仿宋" w:eastAsia="仿宋" w:cs="仿宋"/>
          <w:color w:val="000000"/>
          <w:kern w:val="0"/>
          <w:sz w:val="24"/>
        </w:rPr>
        <w:t>方依法享有向</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rPr>
        <w:t>方追索的权利。</w:t>
      </w:r>
    </w:p>
    <w:p w14:paraId="3A70D41A">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eastAsia="zh-CN"/>
        </w:rPr>
        <w:t>十四、</w:t>
      </w:r>
      <w:r>
        <w:rPr>
          <w:rFonts w:hint="eastAsia" w:ascii="仿宋" w:hAnsi="仿宋" w:eastAsia="仿宋" w:cs="仿宋"/>
          <w:color w:val="000000"/>
          <w:kern w:val="0"/>
          <w:sz w:val="24"/>
          <w:lang w:val="zh-CN"/>
        </w:rPr>
        <w:t>反商业贿赂条款</w:t>
      </w:r>
    </w:p>
    <w:p w14:paraId="3CDCB5B6">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为保障双方合法权益不受侵害，保持</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lang w:val="zh-CN"/>
        </w:rPr>
        <w:t>双方长久、良好的合作关系，根据《中华人民共和国反不正当竞争法》《关于禁止商业贿赂行为的暂行规定》及有关法律、法规的规定，</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lang w:val="zh-CN"/>
        </w:rPr>
        <w:t>双方约定如下：</w:t>
      </w:r>
    </w:p>
    <w:p w14:paraId="4B8F6AF0">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1、甲乙</w:t>
      </w:r>
      <w:r>
        <w:rPr>
          <w:rFonts w:hint="eastAsia" w:ascii="仿宋" w:hAnsi="仿宋" w:eastAsia="仿宋" w:cs="仿宋"/>
          <w:color w:val="000000"/>
          <w:kern w:val="0"/>
          <w:sz w:val="24"/>
          <w:lang w:val="zh-CN"/>
        </w:rPr>
        <w:t>双方共同约定，不论在任何情况下，禁止提议、给予、索取或者接受任何形式的商业贿赂，亦不寻求通过给予商业贿赂或者其他酬谢而谋取任何利益。</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lang w:val="zh-CN"/>
        </w:rPr>
        <w:t>双方均有义务拒绝对方员工的索贿、行贿行为。</w:t>
      </w:r>
    </w:p>
    <w:p w14:paraId="51D20166">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2、甲乙</w:t>
      </w:r>
      <w:r>
        <w:rPr>
          <w:rFonts w:hint="eastAsia" w:ascii="仿宋" w:hAnsi="仿宋" w:eastAsia="仿宋" w:cs="仿宋"/>
          <w:color w:val="000000"/>
          <w:kern w:val="0"/>
          <w:sz w:val="24"/>
          <w:lang w:val="zh-CN"/>
        </w:rPr>
        <w:t>双方员工按照商业惯例收取对方的礼品、纪念品，必须统一上交各自所在公司，由公司负责处理。双方互有义务将此事通知对方。</w:t>
      </w:r>
    </w:p>
    <w:p w14:paraId="22BE6367">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lang w:val="zh-CN"/>
        </w:rPr>
        <w:t>在合作过程中，如出现</w:t>
      </w:r>
      <w:r>
        <w:rPr>
          <w:rFonts w:hint="eastAsia" w:ascii="仿宋" w:hAnsi="仿宋" w:eastAsia="仿宋" w:cs="仿宋"/>
          <w:color w:val="000000"/>
          <w:kern w:val="0"/>
          <w:sz w:val="24"/>
          <w:lang w:val="en-US" w:eastAsia="zh-CN"/>
        </w:rPr>
        <w:t>甲方</w:t>
      </w:r>
      <w:r>
        <w:rPr>
          <w:rFonts w:hint="eastAsia" w:ascii="仿宋" w:hAnsi="仿宋" w:eastAsia="仿宋" w:cs="仿宋"/>
          <w:color w:val="000000"/>
          <w:kern w:val="0"/>
          <w:sz w:val="24"/>
          <w:lang w:val="zh-CN"/>
        </w:rPr>
        <w:t>员工索贿、接受贿赂的现象，</w:t>
      </w:r>
      <w:r>
        <w:rPr>
          <w:rFonts w:hint="eastAsia" w:ascii="仿宋" w:hAnsi="仿宋" w:eastAsia="仿宋" w:cs="仿宋"/>
          <w:color w:val="000000"/>
          <w:kern w:val="0"/>
          <w:sz w:val="24"/>
          <w:lang w:val="en-US" w:eastAsia="zh-CN"/>
        </w:rPr>
        <w:t>乙</w:t>
      </w:r>
      <w:r>
        <w:rPr>
          <w:rFonts w:hint="eastAsia" w:ascii="仿宋" w:hAnsi="仿宋" w:eastAsia="仿宋" w:cs="仿宋"/>
          <w:color w:val="000000"/>
          <w:kern w:val="0"/>
          <w:sz w:val="24"/>
          <w:lang w:val="zh-CN"/>
        </w:rPr>
        <w:t>方应及时向</w:t>
      </w:r>
      <w:r>
        <w:rPr>
          <w:rFonts w:hint="eastAsia" w:ascii="仿宋" w:hAnsi="仿宋" w:eastAsia="仿宋" w:cs="仿宋"/>
          <w:color w:val="000000"/>
          <w:kern w:val="0"/>
          <w:sz w:val="24"/>
          <w:lang w:val="en-US" w:eastAsia="zh-CN"/>
        </w:rPr>
        <w:t>甲</w:t>
      </w:r>
      <w:r>
        <w:rPr>
          <w:rFonts w:hint="eastAsia" w:ascii="仿宋" w:hAnsi="仿宋" w:eastAsia="仿宋" w:cs="仿宋"/>
          <w:color w:val="000000"/>
          <w:kern w:val="0"/>
          <w:sz w:val="24"/>
          <w:lang w:val="zh-CN"/>
        </w:rPr>
        <w:t>方进行举报。</w:t>
      </w:r>
    </w:p>
    <w:p w14:paraId="6F4BBBAC">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4、甲乙</w:t>
      </w:r>
      <w:r>
        <w:rPr>
          <w:rFonts w:hint="eastAsia" w:ascii="仿宋" w:hAnsi="仿宋" w:eastAsia="仿宋" w:cs="仿宋"/>
          <w:color w:val="000000"/>
          <w:kern w:val="0"/>
          <w:sz w:val="24"/>
          <w:lang w:val="zh-CN"/>
        </w:rPr>
        <w:t>双方承诺愿意配合对其员工索取、接受贿赂的行为进行调查。</w:t>
      </w:r>
    </w:p>
    <w:p w14:paraId="28519CF7">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5、</w:t>
      </w:r>
      <w:r>
        <w:rPr>
          <w:rFonts w:hint="eastAsia" w:ascii="仿宋" w:hAnsi="仿宋" w:eastAsia="仿宋" w:cs="仿宋"/>
          <w:color w:val="000000"/>
          <w:kern w:val="0"/>
          <w:sz w:val="24"/>
          <w:lang w:val="zh-CN"/>
        </w:rPr>
        <w:t>如</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lang w:val="zh-CN"/>
        </w:rPr>
        <w:t>双方为谋取商业利益给对方员工贿赂或者不拒绝对方员工索取贿赂的，违约方承担相关法律责任。</w:t>
      </w:r>
    </w:p>
    <w:p w14:paraId="117CC76F">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6、</w:t>
      </w:r>
      <w:r>
        <w:rPr>
          <w:rFonts w:hint="eastAsia" w:ascii="仿宋" w:hAnsi="仿宋" w:eastAsia="仿宋" w:cs="仿宋"/>
          <w:color w:val="000000"/>
          <w:kern w:val="0"/>
          <w:sz w:val="24"/>
          <w:lang w:val="zh-CN"/>
        </w:rPr>
        <w:t>如</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lang w:val="zh-CN"/>
        </w:rPr>
        <w:t>双方违反本条约定，任何一方有权单方解除合同或协议，并不承担任何违约责任及赔偿责任，但提出解除合同方应向对方出具司法机关出具的证据。</w:t>
      </w:r>
    </w:p>
    <w:p w14:paraId="193C6508">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7、甲乙</w:t>
      </w:r>
      <w:r>
        <w:rPr>
          <w:rFonts w:hint="eastAsia" w:ascii="仿宋" w:hAnsi="仿宋" w:eastAsia="仿宋" w:cs="仿宋"/>
          <w:color w:val="000000"/>
          <w:kern w:val="0"/>
          <w:sz w:val="24"/>
          <w:lang w:val="zh-CN"/>
        </w:rPr>
        <w:t>双方积极全面履行协议，并能向对方举报其员工索取、收受贿赂事实的，</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lang w:val="zh-CN"/>
        </w:rPr>
        <w:t>双方将优先与其发展合作关系，给予在同等条件下优先采购及优惠条件；如果举报与事实不符，</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lang w:val="zh-CN"/>
        </w:rPr>
        <w:t>双方有权终止与其商业合作关系，并承担法律责任。</w:t>
      </w:r>
    </w:p>
    <w:p w14:paraId="4662AF5C">
      <w:pPr>
        <w:keepNext w:val="0"/>
        <w:keepLines w:val="0"/>
        <w:pageBreakBefore w:val="0"/>
        <w:kinsoku/>
        <w:wordWrap/>
        <w:overflowPunct/>
        <w:topLinePunct w:val="0"/>
        <w:autoSpaceDE w:val="0"/>
        <w:autoSpaceDN w:val="0"/>
        <w:bidi w:val="0"/>
        <w:adjustRightInd w:val="0"/>
        <w:spacing w:line="420" w:lineRule="exact"/>
        <w:ind w:firstLine="480"/>
        <w:rPr>
          <w:rFonts w:hint="eastAsia" w:eastAsia="仿宋"/>
          <w:color w:val="000000"/>
          <w:lang w:val="en-US" w:eastAsia="zh-CN"/>
        </w:rPr>
      </w:pPr>
      <w:r>
        <w:rPr>
          <w:rFonts w:hint="eastAsia" w:ascii="仿宋" w:hAnsi="仿宋" w:eastAsia="仿宋" w:cs="仿宋"/>
          <w:color w:val="000000"/>
          <w:kern w:val="0"/>
          <w:sz w:val="24"/>
          <w:lang w:val="en-US" w:eastAsia="zh-CN"/>
        </w:rPr>
        <w:t>8、甲乙</w:t>
      </w:r>
      <w:r>
        <w:rPr>
          <w:rFonts w:hint="eastAsia" w:ascii="仿宋" w:hAnsi="仿宋" w:eastAsia="仿宋" w:cs="仿宋"/>
          <w:color w:val="000000"/>
          <w:kern w:val="0"/>
          <w:sz w:val="24"/>
          <w:lang w:val="zh-CN"/>
        </w:rPr>
        <w:t>双方均有义务约束本方员工不得以抬高对方采购商品的报价达到退给对方经办员工个人一定比例的商品价款的行为发生；双方更不得以账外方式暗中以现金、实物或者其他方式退给对方员工个人一定比例的商品价款。</w:t>
      </w:r>
    </w:p>
    <w:p w14:paraId="20196C8B">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十五、本合同的任何变更，均应以书面形式提出，并由双方授权人等协商一致后书面达成协议方有效。</w:t>
      </w:r>
    </w:p>
    <w:p w14:paraId="2259C756">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十六、甲乙双方应对在本合同谈判期间、履行期间从另一方获得或收到的价格、资料、信息及其它商业秘密进行保密，未经对方书面事先同意不得向任何第三方以任何方式披露。</w:t>
      </w:r>
    </w:p>
    <w:p w14:paraId="12CDF4F1">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十七、</w:t>
      </w:r>
      <w:r>
        <w:rPr>
          <w:rFonts w:hint="eastAsia" w:ascii="仿宋" w:hAnsi="仿宋" w:eastAsia="仿宋" w:cs="仿宋"/>
          <w:color w:val="000000"/>
          <w:kern w:val="0"/>
          <w:sz w:val="24"/>
        </w:rPr>
        <w:t>本合同适用中华人民共和国法律，并据其进行解释。</w:t>
      </w:r>
    </w:p>
    <w:p w14:paraId="1CA72634">
      <w:pPr>
        <w:keepNext w:val="0"/>
        <w:keepLines w:val="0"/>
        <w:pageBreakBefore w:val="0"/>
        <w:kinsoku/>
        <w:wordWrap/>
        <w:overflowPunct/>
        <w:topLinePunct w:val="0"/>
        <w:autoSpaceDE w:val="0"/>
        <w:autoSpaceDN w:val="0"/>
        <w:bidi w:val="0"/>
        <w:adjustRightInd w:val="0"/>
        <w:spacing w:line="420" w:lineRule="exact"/>
        <w:ind w:firstLine="480"/>
        <w:rPr>
          <w:rFonts w:hint="eastAsia" w:eastAsia="仿宋"/>
          <w:color w:val="000000"/>
          <w:lang w:val="en-US" w:eastAsia="zh-CN"/>
        </w:rPr>
      </w:pPr>
      <w:r>
        <w:rPr>
          <w:rFonts w:hint="eastAsia" w:ascii="仿宋" w:hAnsi="仿宋" w:eastAsia="仿宋" w:cs="仿宋"/>
          <w:color w:val="000000"/>
          <w:kern w:val="0"/>
          <w:sz w:val="24"/>
        </w:rPr>
        <w:t>合同履行过程中，若发生争议，双方应协商解决；如协商不成均由</w:t>
      </w:r>
      <w:r>
        <w:rPr>
          <w:rFonts w:hint="eastAsia" w:ascii="仿宋" w:hAnsi="仿宋" w:eastAsia="仿宋" w:cs="仿宋"/>
          <w:color w:val="000000"/>
          <w:kern w:val="0"/>
          <w:sz w:val="24"/>
          <w:lang w:val="en-US" w:eastAsia="zh-CN"/>
        </w:rPr>
        <w:t>三明市沙县区</w:t>
      </w:r>
      <w:r>
        <w:rPr>
          <w:rFonts w:hint="eastAsia" w:ascii="仿宋" w:hAnsi="仿宋" w:eastAsia="仿宋" w:cs="仿宋"/>
          <w:color w:val="000000"/>
          <w:kern w:val="0"/>
          <w:sz w:val="24"/>
        </w:rPr>
        <w:t>人民法院</w:t>
      </w:r>
      <w:r>
        <w:rPr>
          <w:rFonts w:hint="eastAsia" w:ascii="仿宋" w:hAnsi="仿宋" w:eastAsia="仿宋" w:cs="仿宋"/>
          <w:color w:val="000000"/>
          <w:kern w:val="0"/>
          <w:sz w:val="24"/>
          <w:lang w:val="en-US" w:eastAsia="zh-CN"/>
        </w:rPr>
        <w:t>管辖</w:t>
      </w:r>
      <w:r>
        <w:rPr>
          <w:rFonts w:hint="eastAsia" w:ascii="仿宋" w:hAnsi="仿宋" w:eastAsia="仿宋" w:cs="仿宋"/>
          <w:color w:val="000000"/>
          <w:kern w:val="0"/>
          <w:sz w:val="24"/>
        </w:rPr>
        <w:t>。</w:t>
      </w:r>
    </w:p>
    <w:p w14:paraId="38C74224">
      <w:pPr>
        <w:keepNext w:val="0"/>
        <w:keepLines w:val="0"/>
        <w:pageBreakBefore w:val="0"/>
        <w:kinsoku/>
        <w:wordWrap/>
        <w:overflowPunct/>
        <w:topLinePunct w:val="0"/>
        <w:autoSpaceDE w:val="0"/>
        <w:autoSpaceDN w:val="0"/>
        <w:bidi w:val="0"/>
        <w:adjustRightInd w:val="0"/>
        <w:spacing w:line="420" w:lineRule="exact"/>
        <w:ind w:firstLine="480"/>
        <w:rPr>
          <w:rFonts w:hint="eastAsia" w:ascii="仿宋" w:hAnsi="仿宋" w:eastAsia="仿宋" w:cs="仿宋"/>
          <w:color w:val="000000"/>
          <w:kern w:val="0"/>
          <w:sz w:val="24"/>
        </w:rPr>
      </w:pPr>
      <w:r>
        <w:rPr>
          <w:rFonts w:hint="eastAsia" w:ascii="仿宋" w:hAnsi="仿宋" w:eastAsia="仿宋" w:cs="仿宋"/>
          <w:color w:val="000000"/>
          <w:kern w:val="0"/>
          <w:sz w:val="24"/>
          <w:lang w:val="zh-CN"/>
        </w:rPr>
        <w:t>十八、</w:t>
      </w:r>
      <w:r>
        <w:rPr>
          <w:rFonts w:hint="eastAsia" w:ascii="仿宋" w:hAnsi="仿宋" w:eastAsia="仿宋" w:cs="仿宋"/>
          <w:color w:val="000000"/>
          <w:kern w:val="0"/>
          <w:sz w:val="24"/>
        </w:rPr>
        <w:t>其他</w:t>
      </w:r>
    </w:p>
    <w:p w14:paraId="7EDC5F86">
      <w:pPr>
        <w:keepNext w:val="0"/>
        <w:keepLines w:val="0"/>
        <w:pageBreakBefore w:val="0"/>
        <w:kinsoku/>
        <w:wordWrap/>
        <w:overflowPunct/>
        <w:topLinePunct w:val="0"/>
        <w:autoSpaceDE w:val="0"/>
        <w:autoSpaceDN w:val="0"/>
        <w:bidi w:val="0"/>
        <w:adjustRightInd w:val="0"/>
        <w:spacing w:line="42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合同附件为本合同不可分割的一部分，与本合同具有同等的法律效力，补充协议与本协议有冲突的，以补充协议为准。</w:t>
      </w:r>
    </w:p>
    <w:p w14:paraId="3E32130A">
      <w:pPr>
        <w:keepNext w:val="0"/>
        <w:keepLines w:val="0"/>
        <w:pageBreakBefore w:val="0"/>
        <w:kinsoku/>
        <w:wordWrap/>
        <w:overflowPunct/>
        <w:topLinePunct w:val="0"/>
        <w:autoSpaceDE w:val="0"/>
        <w:autoSpaceDN w:val="0"/>
        <w:bidi w:val="0"/>
        <w:adjustRightInd w:val="0"/>
        <w:spacing w:line="42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本合同一经生效，非经</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rPr>
        <w:t>双方签署书面补充协议同意，任何一方以其他方式对合同条款的增减及其他变更均无约束力。</w:t>
      </w:r>
    </w:p>
    <w:p w14:paraId="21BB7942">
      <w:pPr>
        <w:keepNext w:val="0"/>
        <w:keepLines w:val="0"/>
        <w:pageBreakBefore w:val="0"/>
        <w:kinsoku/>
        <w:wordWrap/>
        <w:overflowPunct/>
        <w:topLinePunct w:val="0"/>
        <w:autoSpaceDE w:val="0"/>
        <w:autoSpaceDN w:val="0"/>
        <w:bidi w:val="0"/>
        <w:adjustRightInd w:val="0"/>
        <w:spacing w:line="42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hint="eastAsia" w:ascii="仿宋" w:hAnsi="仿宋" w:eastAsia="仿宋" w:cs="仿宋"/>
          <w:color w:val="000000"/>
          <w:kern w:val="0"/>
          <w:sz w:val="24"/>
        </w:rPr>
        <w:t>本合同的内容及其有关的附件是</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rPr>
        <w:t>双方关于此次合作所最终确定的全部内容，双方均承认其已审阅、理解本合同及相关附件的内容，并同意取代</w:t>
      </w:r>
      <w:r>
        <w:rPr>
          <w:rFonts w:hint="eastAsia" w:ascii="仿宋" w:hAnsi="仿宋" w:eastAsia="仿宋" w:cs="仿宋"/>
          <w:color w:val="000000"/>
          <w:kern w:val="0"/>
          <w:sz w:val="24"/>
          <w:lang w:val="en-US" w:eastAsia="zh-CN"/>
        </w:rPr>
        <w:t>甲乙</w:t>
      </w:r>
      <w:r>
        <w:rPr>
          <w:rFonts w:hint="eastAsia" w:ascii="仿宋" w:hAnsi="仿宋" w:eastAsia="仿宋" w:cs="仿宋"/>
          <w:color w:val="000000"/>
          <w:kern w:val="0"/>
          <w:sz w:val="24"/>
        </w:rPr>
        <w:t>双方之间此前关于此次合作所做出的任何口头或书面的承诺。</w:t>
      </w:r>
    </w:p>
    <w:p w14:paraId="2DA5D8AA">
      <w:pPr>
        <w:keepNext w:val="0"/>
        <w:keepLines w:val="0"/>
        <w:pageBreakBefore w:val="0"/>
        <w:kinsoku/>
        <w:wordWrap/>
        <w:overflowPunct/>
        <w:topLinePunct w:val="0"/>
        <w:autoSpaceDE w:val="0"/>
        <w:autoSpaceDN w:val="0"/>
        <w:bidi w:val="0"/>
        <w:adjustRightInd w:val="0"/>
        <w:spacing w:line="42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本合同自双方加盖公章或合同专用章后生效，合同约定所有义务履行完毕后自行终止。合同的终止并不影响保密义务的继续履行。</w:t>
      </w:r>
    </w:p>
    <w:p w14:paraId="0E500856">
      <w:pPr>
        <w:keepNext w:val="0"/>
        <w:keepLines w:val="0"/>
        <w:pageBreakBefore w:val="0"/>
        <w:shd w:val="clear" w:color="auto" w:fill="FFFFFF"/>
        <w:kinsoku/>
        <w:wordWrap/>
        <w:overflowPunct/>
        <w:topLinePunct w:val="0"/>
        <w:bidi w:val="0"/>
        <w:adjustRightInd w:val="0"/>
        <w:snapToGrid w:val="0"/>
        <w:spacing w:line="420" w:lineRule="exact"/>
        <w:ind w:firstLine="480" w:firstLineChars="200"/>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5、</w:t>
      </w:r>
      <w:r>
        <w:rPr>
          <w:rFonts w:hint="eastAsia" w:ascii="仿宋" w:hAnsi="仿宋" w:eastAsia="仿宋" w:cs="仿宋"/>
          <w:color w:val="000000"/>
          <w:kern w:val="0"/>
          <w:sz w:val="24"/>
        </w:rPr>
        <w:t>本合同及附件一式</w:t>
      </w:r>
      <w:r>
        <w:rPr>
          <w:rFonts w:hint="eastAsia" w:ascii="仿宋" w:hAnsi="仿宋" w:eastAsia="仿宋" w:cs="仿宋"/>
          <w:color w:val="000000"/>
          <w:kern w:val="0"/>
          <w:sz w:val="24"/>
          <w:lang w:val="en-US" w:eastAsia="zh-CN"/>
        </w:rPr>
        <w:t>肆</w:t>
      </w:r>
      <w:r>
        <w:rPr>
          <w:rFonts w:hint="eastAsia" w:ascii="仿宋" w:hAnsi="仿宋" w:eastAsia="仿宋" w:cs="仿宋"/>
          <w:color w:val="000000"/>
          <w:kern w:val="0"/>
          <w:sz w:val="24"/>
        </w:rPr>
        <w:t>份，</w:t>
      </w:r>
      <w:r>
        <w:rPr>
          <w:rFonts w:hint="eastAsia" w:ascii="仿宋" w:hAnsi="仿宋" w:eastAsia="仿宋" w:cs="仿宋"/>
          <w:color w:val="000000"/>
          <w:kern w:val="0"/>
          <w:sz w:val="24"/>
          <w:lang w:val="en-US" w:eastAsia="zh-CN"/>
        </w:rPr>
        <w:t>甲</w:t>
      </w:r>
      <w:r>
        <w:rPr>
          <w:rFonts w:hint="eastAsia" w:ascii="仿宋" w:hAnsi="仿宋" w:eastAsia="仿宋" w:cs="仿宋"/>
          <w:color w:val="000000"/>
          <w:kern w:val="0"/>
          <w:sz w:val="24"/>
        </w:rPr>
        <w:t>方</w:t>
      </w:r>
      <w:r>
        <w:rPr>
          <w:rFonts w:hint="eastAsia" w:ascii="仿宋" w:hAnsi="仿宋" w:eastAsia="仿宋" w:cs="仿宋"/>
          <w:color w:val="000000"/>
          <w:kern w:val="0"/>
          <w:sz w:val="24"/>
          <w:lang w:val="en-US" w:eastAsia="zh-CN"/>
        </w:rPr>
        <w:t>叁</w:t>
      </w:r>
      <w:r>
        <w:rPr>
          <w:rFonts w:hint="eastAsia" w:ascii="仿宋" w:hAnsi="仿宋" w:eastAsia="仿宋" w:cs="仿宋"/>
          <w:color w:val="000000"/>
          <w:kern w:val="0"/>
          <w:sz w:val="24"/>
        </w:rPr>
        <w:t>份，</w:t>
      </w:r>
      <w:r>
        <w:rPr>
          <w:rFonts w:hint="eastAsia" w:ascii="仿宋" w:hAnsi="仿宋" w:eastAsia="仿宋" w:cs="仿宋"/>
          <w:color w:val="000000"/>
          <w:kern w:val="0"/>
          <w:sz w:val="24"/>
          <w:lang w:val="en-US" w:eastAsia="zh-CN"/>
        </w:rPr>
        <w:t>乙方壹</w:t>
      </w:r>
      <w:r>
        <w:rPr>
          <w:rFonts w:hint="eastAsia" w:ascii="仿宋" w:hAnsi="仿宋" w:eastAsia="仿宋" w:cs="仿宋"/>
          <w:color w:val="000000"/>
          <w:kern w:val="0"/>
          <w:sz w:val="24"/>
        </w:rPr>
        <w:t>份，每份具有同等的法律效力。</w:t>
      </w:r>
    </w:p>
    <w:p w14:paraId="6A167AE6">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 w:hAnsi="仿宋" w:eastAsia="仿宋" w:cs="仿宋"/>
          <w:b w:val="0"/>
          <w:bCs w:val="0"/>
          <w:color w:val="000000"/>
          <w:sz w:val="24"/>
          <w:szCs w:val="24"/>
          <w:highlight w:val="none"/>
          <w:vertAlign w:val="baseline"/>
          <w:lang w:val="en-US" w:eastAsia="zh-CN"/>
        </w:rPr>
      </w:pPr>
    </w:p>
    <w:p w14:paraId="3713B97A">
      <w:pPr>
        <w:keepNext w:val="0"/>
        <w:keepLines w:val="0"/>
        <w:pageBreakBefore w:val="0"/>
        <w:widowControl w:val="0"/>
        <w:kinsoku/>
        <w:wordWrap/>
        <w:overflowPunct/>
        <w:topLinePunct w:val="0"/>
        <w:autoSpaceDE w:val="0"/>
        <w:autoSpaceDN w:val="0"/>
        <w:bidi w:val="0"/>
        <w:adjustRightInd w:val="0"/>
        <w:spacing w:line="240" w:lineRule="auto"/>
        <w:ind w:firstLine="480"/>
        <w:textAlignment w:val="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（以下无正文）</w:t>
      </w:r>
    </w:p>
    <w:p w14:paraId="5406D9A3">
      <w:pPr>
        <w:pStyle w:val="9"/>
        <w:spacing w:line="240" w:lineRule="auto"/>
        <w:ind w:firstLine="480"/>
        <w:rPr>
          <w:rFonts w:hint="eastAsia" w:ascii="仿宋" w:hAnsi="仿宋" w:eastAsia="仿宋" w:cs="仿宋"/>
          <w:sz w:val="24"/>
          <w:szCs w:val="24"/>
          <w:lang w:val="zh-CN"/>
        </w:rPr>
      </w:pPr>
    </w:p>
    <w:tbl>
      <w:tblPr>
        <w:tblStyle w:val="19"/>
        <w:tblW w:w="9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1"/>
        <w:gridCol w:w="5156"/>
      </w:tblGrid>
      <w:tr w14:paraId="0457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9" w:hRule="atLeast"/>
          <w:jc w:val="center"/>
        </w:trPr>
        <w:tc>
          <w:tcPr>
            <w:tcW w:w="4801" w:type="dxa"/>
            <w:tcBorders>
              <w:top w:val="single" w:color="auto" w:sz="4" w:space="0"/>
              <w:left w:val="single" w:color="auto" w:sz="4" w:space="0"/>
              <w:bottom w:val="single" w:color="auto" w:sz="4" w:space="0"/>
              <w:right w:val="single" w:color="auto" w:sz="4" w:space="0"/>
            </w:tcBorders>
            <w:noWrap w:val="0"/>
            <w:vAlign w:val="top"/>
          </w:tcPr>
          <w:p w14:paraId="409CEBDC">
            <w:pPr>
              <w:pStyle w:val="8"/>
              <w:keepNext w:val="0"/>
              <w:keepLines w:val="0"/>
              <w:pageBreakBefore w:val="0"/>
              <w:widowControl/>
              <w:tabs>
                <w:tab w:val="left" w:pos="180"/>
              </w:tabs>
              <w:kinsoku w:val="0"/>
              <w:wordWrap/>
              <w:overflowPunct/>
              <w:topLinePunct w:val="0"/>
              <w:autoSpaceDE w:val="0"/>
              <w:autoSpaceDN w:val="0"/>
              <w:bidi w:val="0"/>
              <w:adjustRightInd/>
              <w:snapToGrid/>
              <w:spacing w:after="0" w:line="240" w:lineRule="auto"/>
              <w:ind w:left="0" w:leftChars="0"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甲  方</w:t>
            </w:r>
          </w:p>
          <w:p w14:paraId="2314C3DF">
            <w:pPr>
              <w:keepNext w:val="0"/>
              <w:keepLines w:val="0"/>
              <w:pageBreakBefore w:val="0"/>
              <w:widowControl/>
              <w:kinsoku w:val="0"/>
              <w:wordWrap/>
              <w:overflowPunct/>
              <w:topLinePunct w:val="0"/>
              <w:autoSpaceDE w:val="0"/>
              <w:autoSpaceDN w:val="0"/>
              <w:bidi w:val="0"/>
              <w:adjustRightInd/>
              <w:snapToGrid/>
              <w:spacing w:line="240" w:lineRule="auto"/>
              <w:ind w:left="0" w:leftChars="0"/>
              <w:textAlignment w:val="baseline"/>
              <w:rPr>
                <w:rFonts w:hint="eastAsia" w:ascii="仿宋" w:hAnsi="仿宋" w:eastAsia="仿宋" w:cs="仿宋"/>
                <w:sz w:val="24"/>
                <w:szCs w:val="24"/>
              </w:rPr>
            </w:pPr>
            <w:r>
              <w:rPr>
                <w:rFonts w:hint="eastAsia" w:ascii="仿宋" w:hAnsi="仿宋" w:eastAsia="仿宋" w:cs="仿宋"/>
                <w:sz w:val="24"/>
                <w:szCs w:val="24"/>
              </w:rPr>
              <w:t xml:space="preserve">名称（公章）：中机(泉州)精密装备有限公司 </w:t>
            </w:r>
          </w:p>
          <w:p w14:paraId="750275AB">
            <w:pPr>
              <w:keepNext w:val="0"/>
              <w:keepLines w:val="0"/>
              <w:pageBreakBefore w:val="0"/>
              <w:widowControl/>
              <w:kinsoku w:val="0"/>
              <w:wordWrap/>
              <w:overflowPunct/>
              <w:topLinePunct w:val="0"/>
              <w:autoSpaceDE w:val="0"/>
              <w:autoSpaceDN w:val="0"/>
              <w:bidi w:val="0"/>
              <w:adjustRightInd/>
              <w:snapToGrid/>
              <w:spacing w:line="240" w:lineRule="auto"/>
              <w:ind w:left="600" w:leftChars="0" w:hanging="600" w:hangingChars="250"/>
              <w:textAlignment w:val="baseline"/>
              <w:rPr>
                <w:rFonts w:hint="eastAsia" w:ascii="仿宋" w:hAnsi="仿宋" w:eastAsia="仿宋" w:cs="仿宋"/>
                <w:sz w:val="24"/>
                <w:szCs w:val="24"/>
              </w:rPr>
            </w:pPr>
            <w:r>
              <w:rPr>
                <w:rFonts w:hint="eastAsia" w:ascii="仿宋" w:hAnsi="仿宋" w:eastAsia="仿宋" w:cs="仿宋"/>
                <w:sz w:val="24"/>
                <w:szCs w:val="24"/>
              </w:rPr>
              <w:t xml:space="preserve">地址：福建省泉州市洛江区福滨街1号2幢 </w:t>
            </w:r>
          </w:p>
          <w:p w14:paraId="394105AC">
            <w:pPr>
              <w:keepNext w:val="0"/>
              <w:keepLines w:val="0"/>
              <w:pageBreakBefore w:val="0"/>
              <w:widowControl/>
              <w:tabs>
                <w:tab w:val="left" w:pos="180"/>
              </w:tabs>
              <w:kinsoku w:val="0"/>
              <w:wordWrap/>
              <w:overflowPunct/>
              <w:topLinePunct w:val="0"/>
              <w:autoSpaceDE w:val="0"/>
              <w:autoSpaceDN w:val="0"/>
              <w:bidi w:val="0"/>
              <w:adjustRightInd/>
              <w:snapToGrid/>
              <w:spacing w:line="240" w:lineRule="auto"/>
              <w:ind w:left="0" w:leftChars="0"/>
              <w:textAlignment w:val="baseline"/>
              <w:rPr>
                <w:rFonts w:hint="eastAsia" w:ascii="仿宋" w:hAnsi="仿宋" w:eastAsia="仿宋" w:cs="仿宋"/>
                <w:sz w:val="24"/>
                <w:szCs w:val="24"/>
              </w:rPr>
            </w:pPr>
            <w:r>
              <w:rPr>
                <w:rFonts w:hint="eastAsia" w:ascii="仿宋" w:hAnsi="仿宋" w:eastAsia="仿宋" w:cs="仿宋"/>
                <w:sz w:val="24"/>
                <w:szCs w:val="24"/>
              </w:rPr>
              <w:t>法定代表人：</w:t>
            </w:r>
          </w:p>
          <w:p w14:paraId="56BABC09">
            <w:pPr>
              <w:pStyle w:val="8"/>
              <w:keepNext w:val="0"/>
              <w:keepLines w:val="0"/>
              <w:pageBreakBefore w:val="0"/>
              <w:widowControl/>
              <w:tabs>
                <w:tab w:val="left" w:pos="180"/>
              </w:tabs>
              <w:kinsoku w:val="0"/>
              <w:wordWrap/>
              <w:overflowPunct/>
              <w:topLinePunct w:val="0"/>
              <w:autoSpaceDE w:val="0"/>
              <w:autoSpaceDN w:val="0"/>
              <w:bidi w:val="0"/>
              <w:adjustRightInd/>
              <w:snapToGrid/>
              <w:spacing w:after="0" w:line="240" w:lineRule="auto"/>
              <w:ind w:left="0" w:leftChars="0"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委托代理人：</w:t>
            </w:r>
          </w:p>
          <w:p w14:paraId="60B1F10E">
            <w:pPr>
              <w:keepNext w:val="0"/>
              <w:keepLines w:val="0"/>
              <w:pageBreakBefore w:val="0"/>
              <w:widowControl/>
              <w:kinsoku w:val="0"/>
              <w:wordWrap/>
              <w:overflowPunct/>
              <w:topLinePunct w:val="0"/>
              <w:autoSpaceDE w:val="0"/>
              <w:autoSpaceDN w:val="0"/>
              <w:bidi w:val="0"/>
              <w:adjustRightInd/>
              <w:snapToGrid/>
              <w:spacing w:line="240" w:lineRule="auto"/>
              <w:ind w:left="0" w:leftChars="0"/>
              <w:textAlignment w:val="baseline"/>
              <w:rPr>
                <w:rFonts w:hint="eastAsia" w:ascii="仿宋" w:hAnsi="仿宋" w:eastAsia="仿宋" w:cs="仿宋"/>
                <w:sz w:val="24"/>
                <w:szCs w:val="24"/>
              </w:rPr>
            </w:pPr>
            <w:r>
              <w:rPr>
                <w:rFonts w:hint="eastAsia" w:ascii="仿宋" w:hAnsi="仿宋" w:eastAsia="仿宋" w:cs="仿宋"/>
                <w:sz w:val="24"/>
                <w:szCs w:val="24"/>
              </w:rPr>
              <w:t xml:space="preserve">电话：0595-28999882  </w:t>
            </w:r>
          </w:p>
          <w:p w14:paraId="243539C2">
            <w:pPr>
              <w:pStyle w:val="8"/>
              <w:keepNext w:val="0"/>
              <w:keepLines w:val="0"/>
              <w:pageBreakBefore w:val="0"/>
              <w:widowControl/>
              <w:tabs>
                <w:tab w:val="left" w:pos="180"/>
              </w:tabs>
              <w:kinsoku w:val="0"/>
              <w:wordWrap/>
              <w:overflowPunct/>
              <w:topLinePunct w:val="0"/>
              <w:autoSpaceDE w:val="0"/>
              <w:autoSpaceDN w:val="0"/>
              <w:bidi w:val="0"/>
              <w:adjustRightInd/>
              <w:snapToGrid/>
              <w:spacing w:after="0" w:line="240" w:lineRule="auto"/>
              <w:ind w:left="0" w:leftChars="0"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传真：</w:t>
            </w:r>
          </w:p>
          <w:p w14:paraId="1BC03EDD">
            <w:pPr>
              <w:keepNext w:val="0"/>
              <w:keepLines w:val="0"/>
              <w:pageBreakBefore w:val="0"/>
              <w:widowControl/>
              <w:kinsoku w:val="0"/>
              <w:wordWrap/>
              <w:overflowPunct/>
              <w:topLinePunct w:val="0"/>
              <w:autoSpaceDE w:val="0"/>
              <w:autoSpaceDN w:val="0"/>
              <w:bidi w:val="0"/>
              <w:adjustRightInd/>
              <w:snapToGrid/>
              <w:spacing w:line="240" w:lineRule="auto"/>
              <w:ind w:left="0" w:leftChars="0"/>
              <w:textAlignment w:val="baseline"/>
              <w:rPr>
                <w:rFonts w:hint="eastAsia" w:ascii="仿宋" w:hAnsi="仿宋" w:eastAsia="仿宋" w:cs="仿宋"/>
                <w:sz w:val="24"/>
                <w:szCs w:val="24"/>
              </w:rPr>
            </w:pPr>
            <w:r>
              <w:rPr>
                <w:rFonts w:hint="eastAsia" w:ascii="仿宋" w:hAnsi="仿宋" w:eastAsia="仿宋" w:cs="仿宋"/>
                <w:sz w:val="24"/>
                <w:szCs w:val="24"/>
              </w:rPr>
              <w:t xml:space="preserve">开户银行：中国建设银行泉州洛江支行 </w:t>
            </w:r>
          </w:p>
          <w:p w14:paraId="325D24A3">
            <w:pPr>
              <w:pStyle w:val="8"/>
              <w:keepNext w:val="0"/>
              <w:keepLines w:val="0"/>
              <w:pageBreakBefore w:val="0"/>
              <w:widowControl/>
              <w:tabs>
                <w:tab w:val="left" w:pos="180"/>
              </w:tabs>
              <w:kinsoku w:val="0"/>
              <w:wordWrap/>
              <w:overflowPunct/>
              <w:topLinePunct w:val="0"/>
              <w:autoSpaceDE w:val="0"/>
              <w:autoSpaceDN w:val="0"/>
              <w:bidi w:val="0"/>
              <w:adjustRightInd/>
              <w:snapToGrid/>
              <w:spacing w:after="0" w:line="240" w:lineRule="auto"/>
              <w:ind w:left="0" w:leftChars="0"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银行帐号：35050165690709668888</w:t>
            </w:r>
          </w:p>
          <w:p w14:paraId="5EAF6179">
            <w:pPr>
              <w:pStyle w:val="8"/>
              <w:keepNext w:val="0"/>
              <w:keepLines w:val="0"/>
              <w:pageBreakBefore w:val="0"/>
              <w:widowControl/>
              <w:tabs>
                <w:tab w:val="left" w:pos="180"/>
              </w:tabs>
              <w:kinsoku w:val="0"/>
              <w:wordWrap/>
              <w:overflowPunct/>
              <w:topLinePunct w:val="0"/>
              <w:autoSpaceDE w:val="0"/>
              <w:autoSpaceDN w:val="0"/>
              <w:bidi w:val="0"/>
              <w:adjustRightInd/>
              <w:snapToGrid/>
              <w:spacing w:after="0" w:line="240" w:lineRule="auto"/>
              <w:ind w:left="0" w:leftChars="0"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税号：91350504MAE6FFEMXQ</w:t>
            </w:r>
          </w:p>
        </w:tc>
        <w:tc>
          <w:tcPr>
            <w:tcW w:w="5156" w:type="dxa"/>
            <w:tcBorders>
              <w:top w:val="single" w:color="auto" w:sz="4" w:space="0"/>
              <w:left w:val="single" w:color="auto" w:sz="4" w:space="0"/>
              <w:bottom w:val="single" w:color="auto" w:sz="4" w:space="0"/>
              <w:right w:val="single" w:color="auto" w:sz="4" w:space="0"/>
            </w:tcBorders>
            <w:noWrap w:val="0"/>
            <w:vAlign w:val="top"/>
          </w:tcPr>
          <w:p w14:paraId="0779D4F8">
            <w:pPr>
              <w:pStyle w:val="8"/>
              <w:keepNext w:val="0"/>
              <w:keepLines w:val="0"/>
              <w:pageBreakBefore w:val="0"/>
              <w:widowControl/>
              <w:tabs>
                <w:tab w:val="left" w:pos="180"/>
              </w:tabs>
              <w:kinsoku w:val="0"/>
              <w:wordWrap/>
              <w:overflowPunct/>
              <w:topLinePunct w:val="0"/>
              <w:autoSpaceDE w:val="0"/>
              <w:autoSpaceDN w:val="0"/>
              <w:bidi w:val="0"/>
              <w:adjustRightInd/>
              <w:snapToGrid/>
              <w:spacing w:after="0" w:line="240" w:lineRule="auto"/>
              <w:ind w:left="0" w:leftChars="0"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乙  方</w:t>
            </w:r>
          </w:p>
          <w:p w14:paraId="316A1EB3">
            <w:pPr>
              <w:keepNext w:val="0"/>
              <w:keepLines w:val="0"/>
              <w:pageBreakBefore w:val="0"/>
              <w:widowControl/>
              <w:kinsoku w:val="0"/>
              <w:wordWrap/>
              <w:overflowPunct/>
              <w:topLinePunct w:val="0"/>
              <w:autoSpaceDE w:val="0"/>
              <w:autoSpaceDN w:val="0"/>
              <w:bidi w:val="0"/>
              <w:adjustRightInd/>
              <w:snapToGrid/>
              <w:spacing w:line="240" w:lineRule="auto"/>
              <w:ind w:left="600" w:leftChars="0" w:hanging="600" w:hangingChars="250"/>
              <w:textAlignment w:val="baseline"/>
              <w:rPr>
                <w:rFonts w:hint="eastAsia" w:ascii="仿宋" w:hAnsi="仿宋" w:eastAsia="仿宋" w:cs="仿宋"/>
                <w:sz w:val="24"/>
                <w:szCs w:val="24"/>
              </w:rPr>
            </w:pPr>
            <w:r>
              <w:rPr>
                <w:rFonts w:hint="eastAsia" w:ascii="仿宋" w:hAnsi="仿宋" w:eastAsia="仿宋" w:cs="仿宋"/>
                <w:sz w:val="24"/>
                <w:szCs w:val="24"/>
              </w:rPr>
              <w:t>名称（公章）：</w:t>
            </w:r>
          </w:p>
          <w:p w14:paraId="76107CFB">
            <w:pPr>
              <w:keepNext w:val="0"/>
              <w:keepLines w:val="0"/>
              <w:pageBreakBefore w:val="0"/>
              <w:widowControl/>
              <w:kinsoku w:val="0"/>
              <w:wordWrap/>
              <w:overflowPunct/>
              <w:topLinePunct w:val="0"/>
              <w:autoSpaceDE w:val="0"/>
              <w:autoSpaceDN w:val="0"/>
              <w:bidi w:val="0"/>
              <w:adjustRightInd/>
              <w:snapToGrid/>
              <w:spacing w:line="240" w:lineRule="auto"/>
              <w:ind w:left="600" w:leftChars="0" w:hanging="600" w:hangingChars="250"/>
              <w:textAlignment w:val="baseline"/>
              <w:rPr>
                <w:rFonts w:hint="eastAsia" w:ascii="仿宋" w:hAnsi="仿宋" w:eastAsia="仿宋" w:cs="仿宋"/>
                <w:sz w:val="24"/>
                <w:szCs w:val="24"/>
              </w:rPr>
            </w:pPr>
            <w:r>
              <w:rPr>
                <w:rFonts w:hint="eastAsia" w:ascii="仿宋" w:hAnsi="仿宋" w:eastAsia="仿宋" w:cs="仿宋"/>
                <w:sz w:val="24"/>
                <w:szCs w:val="24"/>
              </w:rPr>
              <w:t>地址：</w:t>
            </w:r>
          </w:p>
          <w:p w14:paraId="04B664A5">
            <w:pPr>
              <w:keepNext w:val="0"/>
              <w:keepLines w:val="0"/>
              <w:pageBreakBefore w:val="0"/>
              <w:widowControl/>
              <w:tabs>
                <w:tab w:val="left" w:pos="180"/>
              </w:tabs>
              <w:kinsoku w:val="0"/>
              <w:wordWrap/>
              <w:overflowPunct/>
              <w:topLinePunct w:val="0"/>
              <w:autoSpaceDE w:val="0"/>
              <w:autoSpaceDN w:val="0"/>
              <w:bidi w:val="0"/>
              <w:adjustRightInd/>
              <w:snapToGrid/>
              <w:spacing w:line="240" w:lineRule="auto"/>
              <w:ind w:left="0" w:leftChars="0"/>
              <w:textAlignment w:val="baseline"/>
              <w:rPr>
                <w:rFonts w:hint="eastAsia" w:ascii="仿宋" w:hAnsi="仿宋" w:eastAsia="仿宋" w:cs="仿宋"/>
                <w:sz w:val="24"/>
                <w:szCs w:val="24"/>
              </w:rPr>
            </w:pPr>
            <w:r>
              <w:rPr>
                <w:rFonts w:hint="eastAsia" w:ascii="仿宋" w:hAnsi="仿宋" w:eastAsia="仿宋" w:cs="仿宋"/>
                <w:sz w:val="24"/>
                <w:szCs w:val="24"/>
              </w:rPr>
              <w:t>法定代表人：</w:t>
            </w:r>
          </w:p>
          <w:p w14:paraId="5CF8D4F0">
            <w:pPr>
              <w:pStyle w:val="8"/>
              <w:keepNext w:val="0"/>
              <w:keepLines w:val="0"/>
              <w:pageBreakBefore w:val="0"/>
              <w:widowControl/>
              <w:tabs>
                <w:tab w:val="left" w:pos="180"/>
              </w:tabs>
              <w:kinsoku w:val="0"/>
              <w:wordWrap/>
              <w:overflowPunct/>
              <w:topLinePunct w:val="0"/>
              <w:autoSpaceDE w:val="0"/>
              <w:autoSpaceDN w:val="0"/>
              <w:bidi w:val="0"/>
              <w:adjustRightInd/>
              <w:snapToGrid/>
              <w:spacing w:after="0" w:line="240" w:lineRule="auto"/>
              <w:ind w:left="0" w:leftChars="0"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委托代理人：</w:t>
            </w:r>
          </w:p>
          <w:p w14:paraId="57BD3D23">
            <w:pPr>
              <w:keepNext w:val="0"/>
              <w:keepLines w:val="0"/>
              <w:pageBreakBefore w:val="0"/>
              <w:widowControl/>
              <w:kinsoku w:val="0"/>
              <w:wordWrap/>
              <w:overflowPunct/>
              <w:topLinePunct w:val="0"/>
              <w:autoSpaceDE w:val="0"/>
              <w:autoSpaceDN w:val="0"/>
              <w:bidi w:val="0"/>
              <w:adjustRightInd/>
              <w:snapToGrid/>
              <w:spacing w:line="240" w:lineRule="auto"/>
              <w:ind w:left="0" w:leftChars="0"/>
              <w:textAlignment w:val="baseline"/>
              <w:rPr>
                <w:rFonts w:hint="eastAsia" w:ascii="仿宋" w:hAnsi="仿宋" w:eastAsia="仿宋" w:cs="仿宋"/>
                <w:sz w:val="24"/>
                <w:szCs w:val="24"/>
              </w:rPr>
            </w:pPr>
            <w:r>
              <w:rPr>
                <w:rFonts w:hint="eastAsia" w:ascii="仿宋" w:hAnsi="仿宋" w:eastAsia="仿宋" w:cs="仿宋"/>
                <w:sz w:val="24"/>
                <w:szCs w:val="24"/>
              </w:rPr>
              <w:t>电话：</w:t>
            </w:r>
          </w:p>
          <w:p w14:paraId="1780DBED">
            <w:pPr>
              <w:pStyle w:val="8"/>
              <w:keepNext w:val="0"/>
              <w:keepLines w:val="0"/>
              <w:pageBreakBefore w:val="0"/>
              <w:widowControl/>
              <w:tabs>
                <w:tab w:val="left" w:pos="180"/>
              </w:tabs>
              <w:kinsoku w:val="0"/>
              <w:wordWrap/>
              <w:overflowPunct/>
              <w:topLinePunct w:val="0"/>
              <w:autoSpaceDE w:val="0"/>
              <w:autoSpaceDN w:val="0"/>
              <w:bidi w:val="0"/>
              <w:adjustRightInd/>
              <w:snapToGrid/>
              <w:spacing w:after="0" w:line="240" w:lineRule="auto"/>
              <w:ind w:left="0" w:leftChars="0"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传真：</w:t>
            </w:r>
          </w:p>
          <w:p w14:paraId="46DC901E">
            <w:pPr>
              <w:keepNext w:val="0"/>
              <w:keepLines w:val="0"/>
              <w:pageBreakBefore w:val="0"/>
              <w:widowControl/>
              <w:kinsoku w:val="0"/>
              <w:wordWrap/>
              <w:overflowPunct/>
              <w:topLinePunct w:val="0"/>
              <w:autoSpaceDE w:val="0"/>
              <w:autoSpaceDN w:val="0"/>
              <w:bidi w:val="0"/>
              <w:adjustRightInd/>
              <w:snapToGrid/>
              <w:spacing w:line="240" w:lineRule="auto"/>
              <w:ind w:left="0" w:leftChars="0"/>
              <w:textAlignment w:val="baseline"/>
              <w:rPr>
                <w:rFonts w:hint="eastAsia" w:ascii="仿宋" w:hAnsi="仿宋" w:eastAsia="仿宋" w:cs="仿宋"/>
                <w:sz w:val="24"/>
                <w:szCs w:val="24"/>
              </w:rPr>
            </w:pPr>
            <w:r>
              <w:rPr>
                <w:rFonts w:hint="eastAsia" w:ascii="仿宋" w:hAnsi="仿宋" w:eastAsia="仿宋" w:cs="仿宋"/>
                <w:sz w:val="24"/>
                <w:szCs w:val="24"/>
              </w:rPr>
              <w:t>开户银行：</w:t>
            </w:r>
          </w:p>
          <w:p w14:paraId="74C35AE3">
            <w:pPr>
              <w:keepNext w:val="0"/>
              <w:keepLines w:val="0"/>
              <w:pageBreakBefore w:val="0"/>
              <w:widowControl/>
              <w:kinsoku w:val="0"/>
              <w:wordWrap/>
              <w:overflowPunct/>
              <w:topLinePunct w:val="0"/>
              <w:autoSpaceDE w:val="0"/>
              <w:autoSpaceDN w:val="0"/>
              <w:bidi w:val="0"/>
              <w:adjustRightInd/>
              <w:snapToGrid/>
              <w:spacing w:line="240" w:lineRule="auto"/>
              <w:ind w:left="0" w:leftChars="0"/>
              <w:textAlignment w:val="baseline"/>
              <w:rPr>
                <w:rFonts w:hint="eastAsia" w:ascii="仿宋" w:hAnsi="仿宋" w:eastAsia="仿宋" w:cs="仿宋"/>
                <w:sz w:val="24"/>
                <w:szCs w:val="24"/>
              </w:rPr>
            </w:pPr>
            <w:r>
              <w:rPr>
                <w:rFonts w:hint="eastAsia" w:ascii="仿宋" w:hAnsi="仿宋" w:eastAsia="仿宋" w:cs="仿宋"/>
                <w:sz w:val="24"/>
                <w:szCs w:val="24"/>
              </w:rPr>
              <w:t>银行帐号：</w:t>
            </w:r>
          </w:p>
          <w:p w14:paraId="38E7F798">
            <w:pPr>
              <w:keepNext w:val="0"/>
              <w:keepLines w:val="0"/>
              <w:pageBreakBefore w:val="0"/>
              <w:widowControl/>
              <w:kinsoku w:val="0"/>
              <w:wordWrap/>
              <w:overflowPunct/>
              <w:topLinePunct w:val="0"/>
              <w:autoSpaceDE w:val="0"/>
              <w:autoSpaceDN w:val="0"/>
              <w:bidi w:val="0"/>
              <w:adjustRightInd/>
              <w:snapToGrid/>
              <w:spacing w:line="240" w:lineRule="auto"/>
              <w:ind w:left="0" w:leftChars="0"/>
              <w:textAlignment w:val="baseline"/>
              <w:rPr>
                <w:rFonts w:hint="eastAsia" w:ascii="仿宋" w:hAnsi="仿宋" w:eastAsia="仿宋" w:cs="仿宋"/>
                <w:sz w:val="24"/>
                <w:szCs w:val="24"/>
              </w:rPr>
            </w:pPr>
            <w:r>
              <w:rPr>
                <w:rFonts w:hint="eastAsia" w:ascii="仿宋" w:hAnsi="仿宋" w:eastAsia="仿宋" w:cs="仿宋"/>
                <w:sz w:val="24"/>
                <w:szCs w:val="24"/>
              </w:rPr>
              <w:t>税号：</w:t>
            </w:r>
          </w:p>
        </w:tc>
      </w:tr>
    </w:tbl>
    <w:p w14:paraId="3C6E426B">
      <w:pPr>
        <w:shd w:val="clear" w:color="auto" w:fill="FFFFFF"/>
        <w:adjustRightInd w:val="0"/>
        <w:snapToGrid w:val="0"/>
        <w:spacing w:line="240" w:lineRule="auto"/>
        <w:rPr>
          <w:rFonts w:ascii="仿宋" w:hAnsi="仿宋" w:eastAsia="仿宋"/>
          <w:sz w:val="24"/>
          <w:szCs w:val="24"/>
        </w:rPr>
      </w:pPr>
    </w:p>
    <w:p w14:paraId="07617F81">
      <w:pPr>
        <w:keepNext w:val="0"/>
        <w:keepLines w:val="0"/>
        <w:pageBreakBefore w:val="0"/>
        <w:wordWrap/>
        <w:overflowPunct/>
        <w:topLinePunct w:val="0"/>
        <w:autoSpaceDE w:val="0"/>
        <w:autoSpaceDN w:val="0"/>
        <w:bidi w:val="0"/>
        <w:adjustRightInd w:val="0"/>
        <w:spacing w:line="300" w:lineRule="auto"/>
        <w:rPr>
          <w:rFonts w:hint="eastAsia" w:ascii="宋体" w:hAnsi="宋体" w:eastAsia="宋体" w:cs="宋体"/>
        </w:rPr>
      </w:pPr>
    </w:p>
    <w:sectPr>
      <w:pgSz w:w="11905" w:h="16838"/>
      <w:pgMar w:top="1440" w:right="1080" w:bottom="1440" w:left="1080" w:header="851" w:footer="1020" w:gutter="0"/>
      <w:pgBorders>
        <w:top w:val="none" w:sz="0" w:space="0"/>
        <w:left w:val="none" w:sz="0" w:space="0"/>
        <w:bottom w:val="none" w:sz="0" w:space="0"/>
        <w:right w:val="none" w:sz="0" w:space="0"/>
      </w:pgBorders>
      <w:pgNumType w:fmt="decimal"/>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仿宋">
    <w:altName w:val="宋体"/>
    <w:panose1 w:val="00000000000000000000"/>
    <w:charset w:val="86"/>
    <w:family w:val="roman"/>
    <w:pitch w:val="default"/>
    <w:sig w:usb0="00000000" w:usb1="00000000" w:usb2="00000000" w:usb3="00000000" w:csb0="00040001" w:csb1="00000000"/>
  </w:font>
  <w:font w:name="宋体;SimSun">
    <w:altName w:val="宋体"/>
    <w:panose1 w:val="00000000000000000000"/>
    <w:charset w:val="86"/>
    <w:family w:val="roman"/>
    <w:pitch w:val="default"/>
    <w:sig w:usb0="00000000" w:usb1="00000000" w:usb2="00000000" w:usb3="00000000" w:csb0="00040001"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5ACEC">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DB145">
                          <w:pPr>
                            <w:pStyle w:val="14"/>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15</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0DB145">
                    <w:pPr>
                      <w:pStyle w:val="14"/>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15</w:t>
                    </w:r>
                    <w:r>
                      <w:fldChar w:fldCharType="end"/>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426D0">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27AE1">
                          <w:pPr>
                            <w:pStyle w:val="14"/>
                          </w:pPr>
                          <w:r>
                            <w:t>第</w:t>
                          </w:r>
                          <w:r>
                            <w:fldChar w:fldCharType="begin"/>
                          </w:r>
                          <w:r>
                            <w:instrText xml:space="preserve"> PAGE  \* MERGEFORMAT </w:instrText>
                          </w:r>
                          <w:r>
                            <w:fldChar w:fldCharType="separate"/>
                          </w:r>
                          <w:r>
                            <w:t>2</w:t>
                          </w:r>
                          <w:r>
                            <w:fldChar w:fldCharType="end"/>
                          </w:r>
                          <w:r>
                            <w:t>页共</w:t>
                          </w:r>
                          <w:r>
                            <w:fldChar w:fldCharType="begin"/>
                          </w:r>
                          <w:r>
                            <w:instrText xml:space="preserve"> NUMPAGES  \* MERGEFORMAT </w:instrText>
                          </w:r>
                          <w:r>
                            <w:fldChar w:fldCharType="separate"/>
                          </w:r>
                          <w:r>
                            <w:t>15</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9327AE1">
                    <w:pPr>
                      <w:pStyle w:val="14"/>
                    </w:pPr>
                    <w:r>
                      <w:t>第</w:t>
                    </w:r>
                    <w:r>
                      <w:fldChar w:fldCharType="begin"/>
                    </w:r>
                    <w:r>
                      <w:instrText xml:space="preserve"> PAGE  \* MERGEFORMAT </w:instrText>
                    </w:r>
                    <w:r>
                      <w:fldChar w:fldCharType="separate"/>
                    </w:r>
                    <w:r>
                      <w:t>2</w:t>
                    </w:r>
                    <w:r>
                      <w:fldChar w:fldCharType="end"/>
                    </w:r>
                    <w:r>
                      <w:t>页共</w:t>
                    </w:r>
                    <w:r>
                      <w:fldChar w:fldCharType="begin"/>
                    </w:r>
                    <w:r>
                      <w:instrText xml:space="preserve"> NUMPAGES  \* MERGEFORMAT </w:instrText>
                    </w:r>
                    <w:r>
                      <w:fldChar w:fldCharType="separate"/>
                    </w:r>
                    <w:r>
                      <w:t>15</w:t>
                    </w:r>
                    <w:r>
                      <w:fldChar w:fldCharType="end"/>
                    </w:r>
                    <w:r>
                      <w:t>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6FC34">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19CF2C">
                          <w:pPr>
                            <w:pStyle w:val="14"/>
                          </w:pPr>
                          <w:r>
                            <w:t>第</w:t>
                          </w:r>
                          <w:r>
                            <w:fldChar w:fldCharType="begin"/>
                          </w:r>
                          <w:r>
                            <w:instrText xml:space="preserve"> PAGE  \* MERGEFORMAT </w:instrText>
                          </w:r>
                          <w:r>
                            <w:fldChar w:fldCharType="separate"/>
                          </w:r>
                          <w:r>
                            <w:t>10</w:t>
                          </w:r>
                          <w:r>
                            <w:fldChar w:fldCharType="end"/>
                          </w:r>
                          <w:r>
                            <w:t>页共</w:t>
                          </w:r>
                          <w:r>
                            <w:fldChar w:fldCharType="begin"/>
                          </w:r>
                          <w:r>
                            <w:instrText xml:space="preserve"> NUMPAGES  \* MERGEFORMAT </w:instrText>
                          </w:r>
                          <w:r>
                            <w:fldChar w:fldCharType="separate"/>
                          </w:r>
                          <w:r>
                            <w:t>15</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119CF2C">
                    <w:pPr>
                      <w:pStyle w:val="14"/>
                    </w:pPr>
                    <w:r>
                      <w:t>第</w:t>
                    </w:r>
                    <w:r>
                      <w:fldChar w:fldCharType="begin"/>
                    </w:r>
                    <w:r>
                      <w:instrText xml:space="preserve"> PAGE  \* MERGEFORMAT </w:instrText>
                    </w:r>
                    <w:r>
                      <w:fldChar w:fldCharType="separate"/>
                    </w:r>
                    <w:r>
                      <w:t>10</w:t>
                    </w:r>
                    <w:r>
                      <w:fldChar w:fldCharType="end"/>
                    </w:r>
                    <w:r>
                      <w:t>页共</w:t>
                    </w:r>
                    <w:r>
                      <w:fldChar w:fldCharType="begin"/>
                    </w:r>
                    <w:r>
                      <w:instrText xml:space="preserve"> NUMPAGES  \* MERGEFORMAT </w:instrText>
                    </w:r>
                    <w:r>
                      <w:fldChar w:fldCharType="separate"/>
                    </w:r>
                    <w:r>
                      <w:t>15</w:t>
                    </w:r>
                    <w:r>
                      <w:fldChar w:fldCharType="end"/>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1A79">
    <w:pPr>
      <w:spacing w:before="224" w:line="185" w:lineRule="auto"/>
      <w:rPr>
        <w:rFonts w:hint="eastAsia" w:ascii="宋体" w:hAnsi="宋体" w:eastAsia="宋体" w:cs="宋体"/>
        <w:sz w:val="28"/>
        <w:szCs w:val="28"/>
        <w:lang w:eastAsia="zh-CN"/>
      </w:rPr>
    </w:pPr>
    <w:r>
      <w:rPr>
        <w:rFonts w:hint="eastAsia" w:ascii="宋体" w:hAnsi="宋体" w:eastAsia="宋体" w:cs="宋体"/>
        <w:sz w:val="28"/>
        <w:szCs w:val="28"/>
        <w:lang w:eastAsia="zh-CN"/>
      </w:rPr>
      <w:drawing>
        <wp:inline distT="0" distB="0" distL="114300" distR="114300">
          <wp:extent cx="5789930" cy="671830"/>
          <wp:effectExtent l="0" t="0" r="1270" b="13970"/>
          <wp:docPr id="2" name="图片 2" descr="海西常用LOGO=中英文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西常用LOGO=中英文版"/>
                  <pic:cNvPicPr>
                    <a:picLocks noChangeAspect="1"/>
                  </pic:cNvPicPr>
                </pic:nvPicPr>
                <pic:blipFill>
                  <a:blip r:embed="rId1"/>
                  <a:stretch>
                    <a:fillRect/>
                  </a:stretch>
                </pic:blipFill>
                <pic:spPr>
                  <a:xfrm>
                    <a:off x="0" y="0"/>
                    <a:ext cx="5789930" cy="67183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8D194">
    <w:pPr>
      <w:spacing w:before="224" w:line="185" w:lineRule="auto"/>
      <w:rPr>
        <w:rFonts w:hint="eastAsia" w:ascii="宋体" w:hAnsi="宋体" w:eastAsia="宋体" w:cs="宋体"/>
        <w:sz w:val="28"/>
        <w:szCs w:val="28"/>
        <w:lang w:eastAsia="zh-CN"/>
      </w:rPr>
    </w:pPr>
    <w:r>
      <w:rPr>
        <w:rFonts w:hint="eastAsia" w:ascii="宋体" w:hAnsi="宋体" w:eastAsia="宋体" w:cs="宋体"/>
        <w:sz w:val="28"/>
        <w:szCs w:val="28"/>
        <w:lang w:eastAsia="zh-CN"/>
      </w:rPr>
      <w:drawing>
        <wp:inline distT="0" distB="0" distL="114300" distR="114300">
          <wp:extent cx="5826760" cy="675640"/>
          <wp:effectExtent l="0" t="0" r="10160" b="10160"/>
          <wp:docPr id="1" name="图片 1" descr="海西常用LOGO=中英文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海西常用LOGO=中英文版"/>
                  <pic:cNvPicPr>
                    <a:picLocks noChangeAspect="1"/>
                  </pic:cNvPicPr>
                </pic:nvPicPr>
                <pic:blipFill>
                  <a:blip r:embed="rId1"/>
                  <a:stretch>
                    <a:fillRect/>
                  </a:stretch>
                </pic:blipFill>
                <pic:spPr>
                  <a:xfrm>
                    <a:off x="0" y="0"/>
                    <a:ext cx="5826760" cy="67564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F0874">
    <w:pPr>
      <w:spacing w:before="224" w:line="185" w:lineRule="auto"/>
      <w:rPr>
        <w:rFonts w:hint="eastAsia" w:ascii="宋体" w:hAnsi="宋体" w:eastAsia="宋体" w:cs="宋体"/>
        <w:sz w:val="28"/>
        <w:szCs w:val="28"/>
        <w:lang w:eastAsia="zh-CN"/>
      </w:rPr>
    </w:pPr>
    <w:r>
      <w:rPr>
        <w:rFonts w:hint="eastAsia" w:ascii="宋体" w:hAnsi="宋体" w:eastAsia="宋体" w:cs="宋体"/>
        <w:sz w:val="28"/>
        <w:szCs w:val="28"/>
        <w:lang w:eastAsia="zh-CN"/>
      </w:rPr>
      <w:drawing>
        <wp:inline distT="0" distB="0" distL="114300" distR="114300">
          <wp:extent cx="6183630" cy="717550"/>
          <wp:effectExtent l="0" t="0" r="3810" b="13970"/>
          <wp:docPr id="3" name="图片 3" descr="海西常用LOGO=中英文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海西常用LOGO=中英文版"/>
                  <pic:cNvPicPr>
                    <a:picLocks noChangeAspect="1"/>
                  </pic:cNvPicPr>
                </pic:nvPicPr>
                <pic:blipFill>
                  <a:blip r:embed="rId1"/>
                  <a:stretch>
                    <a:fillRect/>
                  </a:stretch>
                </pic:blipFill>
                <pic:spPr>
                  <a:xfrm>
                    <a:off x="0" y="0"/>
                    <a:ext cx="6183630" cy="7175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C414E9"/>
    <w:multiLevelType w:val="singleLevel"/>
    <w:tmpl w:val="CAC414E9"/>
    <w:lvl w:ilvl="0" w:tentative="0">
      <w:start w:val="3"/>
      <w:numFmt w:val="decimal"/>
      <w:suff w:val="nothing"/>
      <w:lvlText w:val="%1、"/>
      <w:lvlJc w:val="left"/>
    </w:lvl>
  </w:abstractNum>
  <w:abstractNum w:abstractNumId="1">
    <w:nsid w:val="CDF2C775"/>
    <w:multiLevelType w:val="singleLevel"/>
    <w:tmpl w:val="CDF2C775"/>
    <w:lvl w:ilvl="0" w:tentative="0">
      <w:start w:val="1"/>
      <w:numFmt w:val="decimal"/>
      <w:suff w:val="nothing"/>
      <w:lvlText w:val="%1、"/>
      <w:lvlJc w:val="left"/>
    </w:lvl>
  </w:abstractNum>
  <w:abstractNum w:abstractNumId="2">
    <w:nsid w:val="1B3F7D25"/>
    <w:multiLevelType w:val="multilevel"/>
    <w:tmpl w:val="1B3F7D2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9204AB2"/>
    <w:multiLevelType w:val="multilevel"/>
    <w:tmpl w:val="39204AB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F8643EB"/>
    <w:multiLevelType w:val="multilevel"/>
    <w:tmpl w:val="3F8643E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3676FDE"/>
    <w:multiLevelType w:val="multilevel"/>
    <w:tmpl w:val="53676FD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55847FE"/>
    <w:multiLevelType w:val="multilevel"/>
    <w:tmpl w:val="555847F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D1F4886"/>
    <w:multiLevelType w:val="singleLevel"/>
    <w:tmpl w:val="6D1F4886"/>
    <w:lvl w:ilvl="0" w:tentative="0">
      <w:start w:val="1"/>
      <w:numFmt w:val="bullet"/>
      <w:lvlText w:val=""/>
      <w:lvlJc w:val="left"/>
      <w:pPr>
        <w:ind w:left="420" w:hanging="420"/>
      </w:pPr>
      <w:rPr>
        <w:rFonts w:hint="default" w:ascii="Wingdings" w:hAnsi="Wingdings"/>
      </w:rPr>
    </w:lvl>
  </w:abstractNum>
  <w:abstractNum w:abstractNumId="8">
    <w:nsid w:val="7370642E"/>
    <w:multiLevelType w:val="multilevel"/>
    <w:tmpl w:val="7370642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C3A1781"/>
    <w:multiLevelType w:val="multilevel"/>
    <w:tmpl w:val="7C3A178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7"/>
  </w:num>
  <w:num w:numId="4">
    <w:abstractNumId w:val="4"/>
  </w:num>
  <w:num w:numId="5">
    <w:abstractNumId w:val="6"/>
  </w:num>
  <w:num w:numId="6">
    <w:abstractNumId w:val="8"/>
  </w:num>
  <w:num w:numId="7">
    <w:abstractNumId w:val="9"/>
  </w:num>
  <w:num w:numId="8">
    <w:abstractNumId w:val="5"/>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iNGI2MzhjZDk2YTMxYzBkZDI0OTRmYTEyZDAyYjMifQ=="/>
  </w:docVars>
  <w:rsids>
    <w:rsidRoot w:val="78EE6CAC"/>
    <w:rsid w:val="000243C9"/>
    <w:rsid w:val="000E6220"/>
    <w:rsid w:val="00130750"/>
    <w:rsid w:val="00177563"/>
    <w:rsid w:val="0017764E"/>
    <w:rsid w:val="0019086B"/>
    <w:rsid w:val="001A28DA"/>
    <w:rsid w:val="00241B37"/>
    <w:rsid w:val="002A64B2"/>
    <w:rsid w:val="00303A41"/>
    <w:rsid w:val="003360EA"/>
    <w:rsid w:val="003362E1"/>
    <w:rsid w:val="0034421A"/>
    <w:rsid w:val="00360C78"/>
    <w:rsid w:val="004269BE"/>
    <w:rsid w:val="004574D5"/>
    <w:rsid w:val="004B1EE3"/>
    <w:rsid w:val="004D40C6"/>
    <w:rsid w:val="00526E07"/>
    <w:rsid w:val="00565001"/>
    <w:rsid w:val="00732474"/>
    <w:rsid w:val="00740B87"/>
    <w:rsid w:val="00753CE8"/>
    <w:rsid w:val="007B144B"/>
    <w:rsid w:val="007B7E52"/>
    <w:rsid w:val="007F7F34"/>
    <w:rsid w:val="00801FF0"/>
    <w:rsid w:val="00850FBC"/>
    <w:rsid w:val="0086421B"/>
    <w:rsid w:val="0087144D"/>
    <w:rsid w:val="00927037"/>
    <w:rsid w:val="00927DAB"/>
    <w:rsid w:val="00940DEE"/>
    <w:rsid w:val="00972536"/>
    <w:rsid w:val="009E110A"/>
    <w:rsid w:val="009E7ADB"/>
    <w:rsid w:val="00A04F46"/>
    <w:rsid w:val="00A22BB1"/>
    <w:rsid w:val="00A561A6"/>
    <w:rsid w:val="00A6000F"/>
    <w:rsid w:val="00A613B3"/>
    <w:rsid w:val="00AB679A"/>
    <w:rsid w:val="00B26138"/>
    <w:rsid w:val="00B31813"/>
    <w:rsid w:val="00BB4E4C"/>
    <w:rsid w:val="00BB4FD3"/>
    <w:rsid w:val="00BD1563"/>
    <w:rsid w:val="00CF3790"/>
    <w:rsid w:val="00CF4E62"/>
    <w:rsid w:val="00D0289F"/>
    <w:rsid w:val="00D02D28"/>
    <w:rsid w:val="00D23398"/>
    <w:rsid w:val="00D331CD"/>
    <w:rsid w:val="00D80CD9"/>
    <w:rsid w:val="00DC42AF"/>
    <w:rsid w:val="00E952F6"/>
    <w:rsid w:val="00E97194"/>
    <w:rsid w:val="00F02DC0"/>
    <w:rsid w:val="00F055FE"/>
    <w:rsid w:val="00F0694F"/>
    <w:rsid w:val="00F84343"/>
    <w:rsid w:val="00F90427"/>
    <w:rsid w:val="00F90A9E"/>
    <w:rsid w:val="00F96AA0"/>
    <w:rsid w:val="00FA1312"/>
    <w:rsid w:val="00FB596A"/>
    <w:rsid w:val="00FF02E1"/>
    <w:rsid w:val="00FF0855"/>
    <w:rsid w:val="00FF35BD"/>
    <w:rsid w:val="01DE5DA6"/>
    <w:rsid w:val="031A62F1"/>
    <w:rsid w:val="063D2047"/>
    <w:rsid w:val="06555C4C"/>
    <w:rsid w:val="06BF6017"/>
    <w:rsid w:val="06DF3FC3"/>
    <w:rsid w:val="082216E1"/>
    <w:rsid w:val="087052F4"/>
    <w:rsid w:val="08E31B8A"/>
    <w:rsid w:val="09CD44CE"/>
    <w:rsid w:val="09D04BEB"/>
    <w:rsid w:val="0B3D3052"/>
    <w:rsid w:val="0BD75BB1"/>
    <w:rsid w:val="0C97306B"/>
    <w:rsid w:val="0C9E047D"/>
    <w:rsid w:val="0D3C1DC3"/>
    <w:rsid w:val="0D6016F8"/>
    <w:rsid w:val="0E0137ED"/>
    <w:rsid w:val="0F184516"/>
    <w:rsid w:val="0F250043"/>
    <w:rsid w:val="0F66217A"/>
    <w:rsid w:val="10F82212"/>
    <w:rsid w:val="12E6250F"/>
    <w:rsid w:val="13C95DDF"/>
    <w:rsid w:val="13DD4624"/>
    <w:rsid w:val="143516C6"/>
    <w:rsid w:val="1441006B"/>
    <w:rsid w:val="144D10FA"/>
    <w:rsid w:val="14B608C1"/>
    <w:rsid w:val="15142E72"/>
    <w:rsid w:val="15BE749A"/>
    <w:rsid w:val="178749E4"/>
    <w:rsid w:val="187A6CED"/>
    <w:rsid w:val="19416EE3"/>
    <w:rsid w:val="19E54C84"/>
    <w:rsid w:val="1A2B2E16"/>
    <w:rsid w:val="1A584361"/>
    <w:rsid w:val="1CA53035"/>
    <w:rsid w:val="1CB72E06"/>
    <w:rsid w:val="1CF21C06"/>
    <w:rsid w:val="1D406077"/>
    <w:rsid w:val="1F9B0ADF"/>
    <w:rsid w:val="1F9C44B8"/>
    <w:rsid w:val="1FC00470"/>
    <w:rsid w:val="213B2D65"/>
    <w:rsid w:val="21B93A0F"/>
    <w:rsid w:val="21B97B04"/>
    <w:rsid w:val="22161631"/>
    <w:rsid w:val="22345F2D"/>
    <w:rsid w:val="223760ED"/>
    <w:rsid w:val="229A5157"/>
    <w:rsid w:val="22F1792F"/>
    <w:rsid w:val="23C06ACA"/>
    <w:rsid w:val="23C16AD3"/>
    <w:rsid w:val="23DF21DE"/>
    <w:rsid w:val="24087AE2"/>
    <w:rsid w:val="25AA61E8"/>
    <w:rsid w:val="27906EE4"/>
    <w:rsid w:val="27982C85"/>
    <w:rsid w:val="28413868"/>
    <w:rsid w:val="28845678"/>
    <w:rsid w:val="28872C4F"/>
    <w:rsid w:val="28AB7D51"/>
    <w:rsid w:val="29156767"/>
    <w:rsid w:val="29BA649E"/>
    <w:rsid w:val="29DE5491"/>
    <w:rsid w:val="2A071D31"/>
    <w:rsid w:val="2A267F2C"/>
    <w:rsid w:val="2C01798C"/>
    <w:rsid w:val="2C4404C1"/>
    <w:rsid w:val="2C7C594D"/>
    <w:rsid w:val="2CD14227"/>
    <w:rsid w:val="2EA636D0"/>
    <w:rsid w:val="2F8512FC"/>
    <w:rsid w:val="302A1EA4"/>
    <w:rsid w:val="30943860"/>
    <w:rsid w:val="357830C3"/>
    <w:rsid w:val="374B4BD9"/>
    <w:rsid w:val="38557A9F"/>
    <w:rsid w:val="38970585"/>
    <w:rsid w:val="3A4A73CA"/>
    <w:rsid w:val="3C440F6E"/>
    <w:rsid w:val="3DCC7449"/>
    <w:rsid w:val="3DE83A67"/>
    <w:rsid w:val="42BD2F8E"/>
    <w:rsid w:val="435B1499"/>
    <w:rsid w:val="440A6827"/>
    <w:rsid w:val="44DC3315"/>
    <w:rsid w:val="45976840"/>
    <w:rsid w:val="47100713"/>
    <w:rsid w:val="474C1085"/>
    <w:rsid w:val="474C1DDB"/>
    <w:rsid w:val="47CF038E"/>
    <w:rsid w:val="48696EEF"/>
    <w:rsid w:val="48B325A9"/>
    <w:rsid w:val="49203109"/>
    <w:rsid w:val="4A7A55DF"/>
    <w:rsid w:val="4ABB39CC"/>
    <w:rsid w:val="4B5E45B8"/>
    <w:rsid w:val="4BF71DFE"/>
    <w:rsid w:val="4C0E5B77"/>
    <w:rsid w:val="4C25253E"/>
    <w:rsid w:val="4CF0110C"/>
    <w:rsid w:val="4D5452E5"/>
    <w:rsid w:val="4DC57782"/>
    <w:rsid w:val="4DF810AC"/>
    <w:rsid w:val="4E772300"/>
    <w:rsid w:val="4FC652ED"/>
    <w:rsid w:val="4FF456D9"/>
    <w:rsid w:val="50054BB6"/>
    <w:rsid w:val="500951DA"/>
    <w:rsid w:val="50390222"/>
    <w:rsid w:val="52E76F40"/>
    <w:rsid w:val="53DA53DB"/>
    <w:rsid w:val="543A1E06"/>
    <w:rsid w:val="55CA11C1"/>
    <w:rsid w:val="5621082A"/>
    <w:rsid w:val="56625644"/>
    <w:rsid w:val="56B90D23"/>
    <w:rsid w:val="58324C4B"/>
    <w:rsid w:val="589F2DDF"/>
    <w:rsid w:val="5A13454B"/>
    <w:rsid w:val="5D2574A1"/>
    <w:rsid w:val="5D294756"/>
    <w:rsid w:val="5DC2080A"/>
    <w:rsid w:val="5F6B1E45"/>
    <w:rsid w:val="5FC078B7"/>
    <w:rsid w:val="5FC357B3"/>
    <w:rsid w:val="62951F99"/>
    <w:rsid w:val="64032E7A"/>
    <w:rsid w:val="646451EA"/>
    <w:rsid w:val="65B23EF2"/>
    <w:rsid w:val="65D57105"/>
    <w:rsid w:val="67FF3F88"/>
    <w:rsid w:val="68503DB3"/>
    <w:rsid w:val="6905258B"/>
    <w:rsid w:val="696A45A4"/>
    <w:rsid w:val="69AB353C"/>
    <w:rsid w:val="69DF74C2"/>
    <w:rsid w:val="6A6D4009"/>
    <w:rsid w:val="6B9F29DB"/>
    <w:rsid w:val="6C242CBC"/>
    <w:rsid w:val="6C2947E2"/>
    <w:rsid w:val="6C4A4810"/>
    <w:rsid w:val="6CAD0BB5"/>
    <w:rsid w:val="6D9B34BE"/>
    <w:rsid w:val="6DD6696E"/>
    <w:rsid w:val="6E6B7E58"/>
    <w:rsid w:val="70DE50A1"/>
    <w:rsid w:val="70E231B1"/>
    <w:rsid w:val="714F5BD7"/>
    <w:rsid w:val="72A44989"/>
    <w:rsid w:val="72C92B1D"/>
    <w:rsid w:val="72D07765"/>
    <w:rsid w:val="73830C7C"/>
    <w:rsid w:val="738642C8"/>
    <w:rsid w:val="73DA76D3"/>
    <w:rsid w:val="7435205E"/>
    <w:rsid w:val="7491561A"/>
    <w:rsid w:val="750A0CFF"/>
    <w:rsid w:val="75EB0DF2"/>
    <w:rsid w:val="77687477"/>
    <w:rsid w:val="778D3071"/>
    <w:rsid w:val="77BA6C36"/>
    <w:rsid w:val="78E77DBC"/>
    <w:rsid w:val="78EE6CAC"/>
    <w:rsid w:val="796E7CD8"/>
    <w:rsid w:val="79D42231"/>
    <w:rsid w:val="79F214BE"/>
    <w:rsid w:val="7A7953A0"/>
    <w:rsid w:val="7AED01B2"/>
    <w:rsid w:val="7B2C1BF9"/>
    <w:rsid w:val="7C603C27"/>
    <w:rsid w:val="7D691CDB"/>
    <w:rsid w:val="7D7D6E7C"/>
    <w:rsid w:val="7EBD3628"/>
    <w:rsid w:val="7F030EC6"/>
    <w:rsid w:val="7FB328E9"/>
    <w:rsid w:val="7FD142C1"/>
    <w:rsid w:val="7FFE3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32"/>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9"/>
    <w:pPr>
      <w:keepNext/>
      <w:spacing w:line="240" w:lineRule="auto"/>
      <w:ind w:firstLine="0" w:firstLineChars="0"/>
      <w:outlineLvl w:val="1"/>
    </w:pPr>
    <w:rPr>
      <w:rFonts w:cstheme="majorBidi"/>
      <w:b/>
      <w:bCs/>
      <w:color w:val="000000" w:themeColor="text1"/>
      <w:sz w:val="28"/>
      <w:szCs w:val="32"/>
      <w14:textFill>
        <w14:solidFill>
          <w14:schemeClr w14:val="tx1"/>
        </w14:solidFill>
      </w14:textFill>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link w:val="29"/>
    <w:autoRedefine/>
    <w:qFormat/>
    <w:uiPriority w:val="0"/>
  </w:style>
  <w:style w:type="paragraph" w:styleId="6">
    <w:name w:val="Salutation"/>
    <w:basedOn w:val="1"/>
    <w:next w:val="1"/>
    <w:qFormat/>
    <w:uiPriority w:val="0"/>
    <w:rPr>
      <w:rFonts w:ascii="仿宋_GB2312;仿宋" w:hAnsi="仿宋_GB2312;仿宋" w:eastAsia="仿宋_GB2312;仿宋" w:cs="宋体;SimSun"/>
      <w:sz w:val="24"/>
      <w:lang w:val="zh-CN"/>
    </w:rPr>
  </w:style>
  <w:style w:type="paragraph" w:styleId="7">
    <w:name w:val="Body Text"/>
    <w:basedOn w:val="1"/>
    <w:autoRedefine/>
    <w:qFormat/>
    <w:uiPriority w:val="1"/>
    <w:rPr>
      <w:rFonts w:ascii="宋体" w:hAnsi="宋体" w:eastAsia="宋体" w:cs="宋体"/>
      <w:sz w:val="24"/>
      <w:szCs w:val="24"/>
      <w:lang w:val="zh-CN" w:bidi="zh-CN"/>
    </w:rPr>
  </w:style>
  <w:style w:type="paragraph" w:styleId="8">
    <w:name w:val="Body Text Indent"/>
    <w:basedOn w:val="1"/>
    <w:next w:val="9"/>
    <w:autoRedefine/>
    <w:qFormat/>
    <w:uiPriority w:val="0"/>
    <w:pPr>
      <w:spacing w:after="120"/>
      <w:ind w:left="420" w:leftChars="200"/>
    </w:pPr>
  </w:style>
  <w:style w:type="paragraph" w:styleId="9">
    <w:name w:val="Body Text First Indent 2"/>
    <w:basedOn w:val="8"/>
    <w:autoRedefine/>
    <w:qFormat/>
    <w:uiPriority w:val="0"/>
    <w:pPr>
      <w:ind w:firstLine="420" w:firstLineChars="200"/>
    </w:pPr>
  </w:style>
  <w:style w:type="paragraph" w:styleId="10">
    <w:name w:val="toc 3"/>
    <w:basedOn w:val="1"/>
    <w:next w:val="1"/>
    <w:autoRedefine/>
    <w:qFormat/>
    <w:uiPriority w:val="39"/>
    <w:pPr>
      <w:ind w:left="840" w:leftChars="400"/>
    </w:pPr>
  </w:style>
  <w:style w:type="paragraph" w:styleId="11">
    <w:name w:val="Plain Text"/>
    <w:basedOn w:val="1"/>
    <w:qFormat/>
    <w:uiPriority w:val="99"/>
    <w:pPr>
      <w:spacing w:before="100" w:line="360" w:lineRule="auto"/>
      <w:jc w:val="left"/>
    </w:pPr>
    <w:rPr>
      <w:rFonts w:ascii="宋体" w:hAnsi="Courier New"/>
      <w:b/>
      <w:sz w:val="24"/>
    </w:rPr>
  </w:style>
  <w:style w:type="paragraph" w:styleId="12">
    <w:name w:val="Date"/>
    <w:basedOn w:val="1"/>
    <w:next w:val="1"/>
    <w:qFormat/>
    <w:uiPriority w:val="0"/>
    <w:rPr>
      <w:szCs w:val="20"/>
    </w:rPr>
  </w:style>
  <w:style w:type="paragraph" w:styleId="13">
    <w:name w:val="Body Text Indent 2"/>
    <w:basedOn w:val="1"/>
    <w:qFormat/>
    <w:uiPriority w:val="0"/>
    <w:pPr>
      <w:spacing w:after="120" w:line="480" w:lineRule="auto"/>
      <w:ind w:left="420" w:leftChars="200"/>
    </w:pPr>
  </w:style>
  <w:style w:type="paragraph" w:styleId="14">
    <w:name w:val="footer"/>
    <w:basedOn w:val="1"/>
    <w:autoRedefine/>
    <w:qFormat/>
    <w:uiPriority w:val="0"/>
    <w:pPr>
      <w:tabs>
        <w:tab w:val="center" w:pos="4153"/>
        <w:tab w:val="right" w:pos="8306"/>
      </w:tabs>
    </w:pPr>
    <w:rPr>
      <w:sz w:val="18"/>
    </w:rPr>
  </w:style>
  <w:style w:type="paragraph" w:styleId="15">
    <w:name w:val="header"/>
    <w:basedOn w:val="1"/>
    <w:link w:val="34"/>
    <w:autoRedefine/>
    <w:qFormat/>
    <w:uiPriority w:val="0"/>
    <w:pPr>
      <w:pBdr>
        <w:bottom w:val="single" w:color="auto" w:sz="6" w:space="1"/>
      </w:pBdr>
      <w:tabs>
        <w:tab w:val="center" w:pos="4153"/>
        <w:tab w:val="right" w:pos="8306"/>
      </w:tabs>
      <w:jc w:val="center"/>
    </w:pPr>
    <w:rPr>
      <w:sz w:val="18"/>
      <w:szCs w:val="18"/>
    </w:rPr>
  </w:style>
  <w:style w:type="paragraph" w:styleId="16">
    <w:name w:val="toc 1"/>
    <w:basedOn w:val="1"/>
    <w:next w:val="1"/>
    <w:autoRedefine/>
    <w:qFormat/>
    <w:uiPriority w:val="39"/>
  </w:style>
  <w:style w:type="paragraph" w:styleId="17">
    <w:name w:val="toc 2"/>
    <w:basedOn w:val="1"/>
    <w:next w:val="1"/>
    <w:autoRedefine/>
    <w:unhideWhenUsed/>
    <w:qFormat/>
    <w:uiPriority w:val="39"/>
    <w:pPr>
      <w:kinsoku/>
      <w:autoSpaceDE/>
      <w:autoSpaceDN/>
      <w:adjustRightInd/>
      <w:snapToGrid/>
      <w:spacing w:after="100" w:line="259" w:lineRule="auto"/>
      <w:ind w:left="220"/>
      <w:textAlignment w:val="auto"/>
    </w:pPr>
    <w:rPr>
      <w:rFonts w:cs="Times New Roman" w:asciiTheme="minorHAnsi" w:hAnsiTheme="minorHAnsi" w:eastAsiaTheme="minorEastAsia"/>
      <w:snapToGrid/>
      <w:color w:val="auto"/>
      <w:sz w:val="22"/>
      <w:szCs w:val="22"/>
    </w:rPr>
  </w:style>
  <w:style w:type="paragraph" w:styleId="18">
    <w:name w:val="annotation subject"/>
    <w:basedOn w:val="5"/>
    <w:next w:val="5"/>
    <w:link w:val="30"/>
    <w:autoRedefine/>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autoRedefine/>
    <w:qFormat/>
    <w:uiPriority w:val="22"/>
    <w:rPr>
      <w:b/>
      <w:bCs/>
    </w:rPr>
  </w:style>
  <w:style w:type="character" w:styleId="23">
    <w:name w:val="Hyperlink"/>
    <w:basedOn w:val="21"/>
    <w:autoRedefine/>
    <w:unhideWhenUsed/>
    <w:qFormat/>
    <w:uiPriority w:val="99"/>
    <w:rPr>
      <w:color w:val="0563C1" w:themeColor="hyperlink"/>
      <w:u w:val="single"/>
      <w14:textFill>
        <w14:solidFill>
          <w14:schemeClr w14:val="hlink"/>
        </w14:solidFill>
      </w14:textFill>
    </w:rPr>
  </w:style>
  <w:style w:type="character" w:styleId="24">
    <w:name w:val="annotation reference"/>
    <w:basedOn w:val="21"/>
    <w:autoRedefine/>
    <w:qFormat/>
    <w:uiPriority w:val="0"/>
    <w:rPr>
      <w:sz w:val="21"/>
      <w:szCs w:val="21"/>
    </w:rPr>
  </w:style>
  <w:style w:type="table" w:customStyle="1" w:styleId="25">
    <w:name w:val="Table Normal"/>
    <w:autoRedefine/>
    <w:semiHidden/>
    <w:unhideWhenUsed/>
    <w:qFormat/>
    <w:uiPriority w:val="0"/>
    <w:tblPr>
      <w:tblCellMar>
        <w:top w:w="0" w:type="dxa"/>
        <w:left w:w="0" w:type="dxa"/>
        <w:bottom w:w="0" w:type="dxa"/>
        <w:right w:w="0" w:type="dxa"/>
      </w:tblCellMar>
    </w:tblPr>
  </w:style>
  <w:style w:type="character" w:customStyle="1" w:styleId="26">
    <w:name w:val="font01"/>
    <w:basedOn w:val="21"/>
    <w:autoRedefine/>
    <w:qFormat/>
    <w:uiPriority w:val="0"/>
    <w:rPr>
      <w:rFonts w:hint="eastAsia" w:ascii="宋体" w:hAnsi="宋体" w:eastAsia="宋体" w:cs="宋体"/>
      <w:color w:val="000000"/>
      <w:sz w:val="24"/>
      <w:szCs w:val="24"/>
      <w:u w:val="none"/>
      <w:vertAlign w:val="superscript"/>
    </w:rPr>
  </w:style>
  <w:style w:type="paragraph" w:customStyle="1" w:styleId="27">
    <w:name w:val="报告正文"/>
    <w:basedOn w:val="1"/>
    <w:autoRedefine/>
    <w:qFormat/>
    <w:uiPriority w:val="99"/>
    <w:pPr>
      <w:spacing w:line="360" w:lineRule="auto"/>
      <w:ind w:firstLine="560" w:firstLineChars="200"/>
    </w:pPr>
    <w:rPr>
      <w:sz w:val="28"/>
      <w:szCs w:val="28"/>
    </w:rPr>
  </w:style>
  <w:style w:type="paragraph" w:customStyle="1" w:styleId="28">
    <w:name w:val="WPSOffice手动目录 1"/>
    <w:autoRedefine/>
    <w:qFormat/>
    <w:uiPriority w:val="0"/>
    <w:rPr>
      <w:rFonts w:ascii="Times New Roman" w:hAnsi="Times New Roman" w:eastAsia="宋体" w:cs="Times New Roman"/>
      <w:lang w:val="en-US" w:eastAsia="zh-CN" w:bidi="ar-SA"/>
    </w:rPr>
  </w:style>
  <w:style w:type="character" w:customStyle="1" w:styleId="29">
    <w:name w:val="批注文字 字符"/>
    <w:basedOn w:val="21"/>
    <w:link w:val="5"/>
    <w:autoRedefine/>
    <w:qFormat/>
    <w:uiPriority w:val="0"/>
    <w:rPr>
      <w:rFonts w:ascii="Arial" w:hAnsi="Arial" w:eastAsia="Arial" w:cs="Arial"/>
      <w:snapToGrid w:val="0"/>
      <w:color w:val="000000"/>
      <w:sz w:val="21"/>
      <w:szCs w:val="21"/>
    </w:rPr>
  </w:style>
  <w:style w:type="character" w:customStyle="1" w:styleId="30">
    <w:name w:val="批注主题 字符"/>
    <w:basedOn w:val="29"/>
    <w:link w:val="18"/>
    <w:autoRedefine/>
    <w:qFormat/>
    <w:uiPriority w:val="0"/>
    <w:rPr>
      <w:rFonts w:ascii="Arial" w:hAnsi="Arial" w:eastAsia="Arial" w:cs="Arial"/>
      <w:b/>
      <w:bCs/>
      <w:snapToGrid w:val="0"/>
      <w:color w:val="000000"/>
      <w:sz w:val="21"/>
      <w:szCs w:val="21"/>
    </w:rPr>
  </w:style>
  <w:style w:type="paragraph" w:styleId="31">
    <w:name w:val="List Paragraph"/>
    <w:basedOn w:val="1"/>
    <w:autoRedefine/>
    <w:qFormat/>
    <w:uiPriority w:val="99"/>
    <w:pPr>
      <w:ind w:firstLine="420" w:firstLineChars="200"/>
    </w:pPr>
  </w:style>
  <w:style w:type="character" w:customStyle="1" w:styleId="32">
    <w:name w:val="标题 1 字符"/>
    <w:basedOn w:val="21"/>
    <w:link w:val="2"/>
    <w:autoRedefine/>
    <w:qFormat/>
    <w:uiPriority w:val="0"/>
    <w:rPr>
      <w:rFonts w:ascii="Arial" w:hAnsi="Arial" w:eastAsia="Arial" w:cs="Arial"/>
      <w:b/>
      <w:bCs/>
      <w:snapToGrid w:val="0"/>
      <w:color w:val="000000"/>
      <w:kern w:val="44"/>
      <w:sz w:val="44"/>
      <w:szCs w:val="44"/>
    </w:rPr>
  </w:style>
  <w:style w:type="paragraph" w:customStyle="1" w:styleId="33">
    <w:name w:val="TOC 标题1"/>
    <w:basedOn w:val="2"/>
    <w:next w:val="1"/>
    <w:autoRedefine/>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rPr>
  </w:style>
  <w:style w:type="character" w:customStyle="1" w:styleId="34">
    <w:name w:val="页眉 字符"/>
    <w:basedOn w:val="21"/>
    <w:link w:val="15"/>
    <w:autoRedefine/>
    <w:qFormat/>
    <w:uiPriority w:val="0"/>
    <w:rPr>
      <w:rFonts w:ascii="Arial" w:hAnsi="Arial" w:eastAsia="Arial" w:cs="Arial"/>
      <w:snapToGrid w:val="0"/>
      <w:color w:val="000000"/>
      <w:sz w:val="18"/>
      <w:szCs w:val="18"/>
    </w:rPr>
  </w:style>
  <w:style w:type="paragraph" w:customStyle="1" w:styleId="35">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标题A"/>
    <w:basedOn w:val="31"/>
    <w:autoRedefine/>
    <w:qFormat/>
    <w:uiPriority w:val="0"/>
    <w:pPr>
      <w:widowControl/>
      <w:adjustRightInd w:val="0"/>
      <w:snapToGrid w:val="0"/>
      <w:spacing w:before="100" w:beforeAutospacing="1" w:after="100" w:afterAutospacing="1" w:line="360" w:lineRule="auto"/>
      <w:ind w:firstLine="0" w:firstLineChars="0"/>
      <w:jc w:val="left"/>
    </w:pPr>
    <w:rPr>
      <w:rFonts w:ascii="宋体" w:hAnsi="宋体"/>
      <w:b/>
      <w:color w:val="000000"/>
      <w:kern w:val="0"/>
      <w:sz w:val="24"/>
      <w:szCs w:val="24"/>
    </w:rPr>
  </w:style>
  <w:style w:type="paragraph" w:customStyle="1" w:styleId="37">
    <w:name w:val="WPSOffice手动目录 2"/>
    <w:uiPriority w:val="0"/>
    <w:pPr>
      <w:ind w:leftChars="200"/>
    </w:pPr>
    <w:rPr>
      <w:rFonts w:ascii="Times New Roman" w:hAnsi="Times New Roman" w:eastAsia="宋体" w:cs="Times New Roman"/>
      <w:sz w:val="20"/>
      <w:szCs w:val="20"/>
    </w:rPr>
  </w:style>
  <w:style w:type="paragraph" w:customStyle="1" w:styleId="38">
    <w:name w:val="WPSOffice手动目录 3"/>
    <w:qFormat/>
    <w:uiPriority w:val="0"/>
    <w:pPr>
      <w:ind w:leftChars="400"/>
    </w:pPr>
    <w:rPr>
      <w:rFonts w:ascii="Times New Roman" w:hAnsi="Times New Roman" w:eastAsia="宋体" w:cs="Times New Roman"/>
      <w:sz w:val="20"/>
      <w:szCs w:val="20"/>
    </w:rPr>
  </w:style>
  <w:style w:type="paragraph" w:customStyle="1" w:styleId="39">
    <w:name w:val="Table Paragraph"/>
    <w:basedOn w:val="1"/>
    <w:qFormat/>
    <w:uiPriority w:val="99"/>
    <w:rPr>
      <w:rFonts w:ascii="宋体" w:hAnsi="宋体" w:cs="宋体"/>
      <w:szCs w:val="24"/>
      <w:lang w:val="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4224</Words>
  <Characters>4459</Characters>
  <Lines>28</Lines>
  <Paragraphs>7</Paragraphs>
  <TotalTime>24</TotalTime>
  <ScaleCrop>false</ScaleCrop>
  <LinksUpToDate>false</LinksUpToDate>
  <CharactersWithSpaces>4548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2022-12-03T00:45:00Z</dcterms:created>
  <dc:creator>Mr.Guang</dc:creator>
  <cp:lastModifiedBy>海西分院文书（李国彬）</cp:lastModifiedBy>
  <cp:lastPrinted>2024-09-09T08:00:00Z</cp:lastPrinted>
  <dcterms:modified xsi:type="dcterms:W3CDTF">2026-08-22T07:03:43Z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349EC9BCB20C422993423225905842DD_13</vt:lpwstr>
  </property>
  <property fmtid="{D5CDD505-2E9C-101B-9397-08002B2CF9AE}" pid="4" name="KSOTemplateDocerSaveRecord">
    <vt:lpwstr>eyJoZGlkIjoiMTFmZWY0YjkyZGYzN2U1NjdhNTIzNmE5Mjg5OWFmMmIiLCJ1c2VySWQiOiIxNzk0ODQ1NzY3In0=</vt:lpwstr>
  </property>
</Properties>
</file>