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PP再生颗粒+PP破碎料料等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5061001</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15"/>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53CEBA4C">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06</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952AF61">
      <w:pPr>
        <w:pStyle w:val="15"/>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5061001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PP再生颗粒+PP破碎料等采购项目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0218"/>
      <w:bookmarkStart w:id="14" w:name="_Toc3942"/>
      <w:bookmarkStart w:id="15" w:name="_Toc13304"/>
      <w:bookmarkStart w:id="16" w:name="_Toc23627"/>
      <w:bookmarkStart w:id="17" w:name="_Toc3520"/>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580"/>
        <w:gridCol w:w="828"/>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580"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828"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12" w:type="dxa"/>
            <w:tcBorders>
              <w:right w:val="single" w:color="auto" w:sz="4" w:space="0"/>
            </w:tcBorders>
            <w:vAlign w:val="center"/>
          </w:tcPr>
          <w:p w14:paraId="1814EA0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828"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吨</w:t>
            </w:r>
          </w:p>
        </w:tc>
        <w:tc>
          <w:tcPr>
            <w:tcW w:w="936" w:type="dxa"/>
            <w:vAlign w:val="center"/>
          </w:tcPr>
          <w:p w14:paraId="315CE715">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eastAsia" w:eastAsia="宋体" w:cs="Arial"/>
                <w:sz w:val="21"/>
                <w:szCs w:val="21"/>
                <w:lang w:val="en-US" w:eastAsia="zh-CN"/>
              </w:rPr>
              <w:t>6000</w:t>
            </w:r>
          </w:p>
        </w:tc>
        <w:tc>
          <w:tcPr>
            <w:tcW w:w="1404" w:type="dxa"/>
            <w:vMerge w:val="restart"/>
            <w:vAlign w:val="center"/>
          </w:tcPr>
          <w:p w14:paraId="46A487AD">
            <w:pPr>
              <w:keepNext w:val="0"/>
              <w:keepLines w:val="0"/>
              <w:pageBreakBefore w:val="0"/>
              <w:wordWrap/>
              <w:overflowPunct/>
              <w:bidi w:val="0"/>
              <w:spacing w:line="300" w:lineRule="auto"/>
              <w:ind w:left="0" w:leftChars="0" w:right="0"/>
              <w:jc w:val="center"/>
              <w:rPr>
                <w:rFonts w:hint="eastAsia" w:eastAsia="宋体" w:cs="Arial"/>
                <w:sz w:val="21"/>
                <w:szCs w:val="21"/>
                <w:lang w:val="en-US" w:eastAsia="zh-CN"/>
              </w:rPr>
            </w:pPr>
            <w:r>
              <w:rPr>
                <w:rFonts w:hint="eastAsia" w:eastAsia="宋体" w:cs="Arial"/>
                <w:sz w:val="21"/>
                <w:szCs w:val="21"/>
                <w:lang w:val="en-US" w:eastAsia="zh-CN"/>
              </w:rPr>
              <w:t>2025.12.31之前</w:t>
            </w:r>
          </w:p>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5720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647F2DCA">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2</w:t>
            </w:r>
          </w:p>
        </w:tc>
        <w:tc>
          <w:tcPr>
            <w:tcW w:w="1456" w:type="dxa"/>
            <w:shd w:val="clear" w:color="auto" w:fill="auto"/>
            <w:vAlign w:val="center"/>
          </w:tcPr>
          <w:p w14:paraId="2498B33A">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12" w:type="dxa"/>
            <w:tcBorders>
              <w:right w:val="single" w:color="auto" w:sz="4" w:space="0"/>
            </w:tcBorders>
            <w:shd w:val="clear" w:color="auto" w:fill="auto"/>
            <w:vAlign w:val="center"/>
          </w:tcPr>
          <w:p w14:paraId="4B261A6C">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4CCBE52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929648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77C927AD">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5</w:t>
            </w:r>
            <w:r>
              <w:rPr>
                <w:rFonts w:hint="eastAsia" w:eastAsia="宋体" w:cs="Arial"/>
                <w:sz w:val="21"/>
                <w:szCs w:val="21"/>
                <w:lang w:val="en-US" w:eastAsia="zh-CN"/>
              </w:rPr>
              <w:t>900</w:t>
            </w:r>
          </w:p>
        </w:tc>
        <w:tc>
          <w:tcPr>
            <w:tcW w:w="1404" w:type="dxa"/>
            <w:vMerge w:val="continue"/>
            <w:vAlign w:val="center"/>
          </w:tcPr>
          <w:p w14:paraId="0AF9D6D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3E3CEA28">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658C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44358AB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3</w:t>
            </w:r>
          </w:p>
        </w:tc>
        <w:tc>
          <w:tcPr>
            <w:tcW w:w="1456" w:type="dxa"/>
            <w:shd w:val="clear" w:color="auto" w:fill="auto"/>
            <w:vAlign w:val="center"/>
          </w:tcPr>
          <w:p w14:paraId="08DADAD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12" w:type="dxa"/>
            <w:tcBorders>
              <w:right w:val="single" w:color="auto" w:sz="4" w:space="0"/>
            </w:tcBorders>
            <w:shd w:val="clear" w:color="auto" w:fill="auto"/>
            <w:vAlign w:val="center"/>
          </w:tcPr>
          <w:p w14:paraId="48D4F51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0A89ADCA">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7E5FE3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242616D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3800</w:t>
            </w:r>
          </w:p>
        </w:tc>
        <w:tc>
          <w:tcPr>
            <w:tcW w:w="1404" w:type="dxa"/>
            <w:vMerge w:val="continue"/>
            <w:vAlign w:val="center"/>
          </w:tcPr>
          <w:p w14:paraId="246CF4E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47A9F3DD">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12" w:type="dxa"/>
            <w:tcBorders>
              <w:right w:val="single" w:color="auto" w:sz="4" w:space="0"/>
            </w:tcBorders>
            <w:shd w:val="clear" w:color="auto" w:fill="auto"/>
            <w:vAlign w:val="center"/>
          </w:tcPr>
          <w:p w14:paraId="77B1BE44">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377CE23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1400</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徐小姐，</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654"/>
      <w:bookmarkStart w:id="21" w:name="_Toc24591"/>
      <w:bookmarkStart w:id="22" w:name="_Toc7018"/>
      <w:bookmarkStart w:id="23" w:name="_Toc9339"/>
      <w:bookmarkStart w:id="24" w:name="_Toc27635"/>
      <w:bookmarkStart w:id="25" w:name="_Toc30159"/>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15"/>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7）货到、票到检验合格后30天付款，付银承。</w:t>
      </w:r>
    </w:p>
    <w:p w14:paraId="0764AE44">
      <w:pPr>
        <w:pStyle w:val="15"/>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w:t>
      </w:r>
      <w:bookmarkStart w:id="101" w:name="_GoBack"/>
      <w:bookmarkEnd w:id="101"/>
      <w:r>
        <w:rPr>
          <w:rFonts w:hint="eastAsia" w:ascii="宋体" w:hAnsi="宋体" w:eastAsia="宋体" w:cs="宋体"/>
          <w:sz w:val="24"/>
          <w:szCs w:val="24"/>
        </w:rPr>
        <w:t>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19941"/>
      <w:bookmarkStart w:id="27" w:name="_Toc30078"/>
      <w:bookmarkStart w:id="28" w:name="_Toc4182"/>
      <w:bookmarkStart w:id="29" w:name="_Toc20083"/>
      <w:bookmarkStart w:id="30" w:name="_Toc21790"/>
      <w:bookmarkStart w:id="31" w:name="_Toc21113"/>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0059"/>
      <w:bookmarkStart w:id="33" w:name="_Toc23207"/>
      <w:bookmarkStart w:id="34" w:name="_Toc322"/>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right="0" w:firstLine="5760" w:firstLineChars="24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24156"/>
      <w:bookmarkStart w:id="40" w:name="_Toc15722"/>
      <w:bookmarkStart w:id="41" w:name="_Toc5448"/>
      <w:bookmarkStart w:id="42" w:name="_Toc21532"/>
      <w:bookmarkStart w:id="43" w:name="_Toc14879"/>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2309"/>
      <w:bookmarkStart w:id="46" w:name="_Toc23688"/>
      <w:bookmarkStart w:id="47" w:name="_Toc9930"/>
      <w:bookmarkStart w:id="48" w:name="_Toc15847"/>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9945"/>
      <w:bookmarkStart w:id="52" w:name="_Toc24896"/>
      <w:bookmarkStart w:id="53" w:name="_Toc2348"/>
      <w:bookmarkStart w:id="54" w:name="_Toc14547"/>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7457"/>
      <w:bookmarkStart w:id="57" w:name="_Toc30571"/>
      <w:bookmarkStart w:id="58" w:name="_Toc2231"/>
      <w:bookmarkStart w:id="59" w:name="_Toc29954"/>
      <w:bookmarkStart w:id="60" w:name="_Toc11398"/>
      <w:bookmarkStart w:id="61" w:name="_Toc30156"/>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8"/>
      <w:bookmarkStart w:id="63" w:name="_Toc18677"/>
      <w:bookmarkStart w:id="64" w:name="_Toc14760"/>
      <w:bookmarkStart w:id="65" w:name="_Toc2345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20255"/>
      <w:bookmarkStart w:id="68" w:name="_Toc3331"/>
      <w:bookmarkStart w:id="69" w:name="_Toc29386"/>
      <w:bookmarkStart w:id="70" w:name="_Toc31780"/>
      <w:bookmarkStart w:id="71" w:name="_Toc998"/>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14086"/>
      <w:bookmarkStart w:id="74" w:name="_Toc12"/>
      <w:bookmarkStart w:id="75" w:name="_Toc26371"/>
      <w:bookmarkStart w:id="76" w:name="_Toc24129"/>
      <w:bookmarkStart w:id="77" w:name="_Toc6426"/>
      <w:bookmarkStart w:id="78" w:name="_Toc1888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9662"/>
      <w:bookmarkStart w:id="80" w:name="_Toc25649"/>
      <w:bookmarkStart w:id="81" w:name="_Toc2586"/>
      <w:bookmarkStart w:id="82" w:name="_Toc32748"/>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9588"/>
      <w:bookmarkStart w:id="86" w:name="_Toc23438"/>
      <w:bookmarkStart w:id="87" w:name="_Toc11099"/>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15"/>
        <w:rPr>
          <w:rFonts w:hint="eastAsia" w:ascii="宋体" w:hAnsi="宋体" w:eastAsia="宋体" w:cs="宋体"/>
        </w:rPr>
      </w:pPr>
    </w:p>
    <w:p w14:paraId="0CEF378B">
      <w:pPr>
        <w:pStyle w:val="15"/>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其他10分</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23296"/>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15"/>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一家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02382C26">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7216"/>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6"/>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6"/>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80"/>
        <w:gridCol w:w="1248"/>
        <w:gridCol w:w="2892"/>
        <w:gridCol w:w="229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3"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280"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248"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892"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29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791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00C4CD42">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1</w:t>
            </w:r>
          </w:p>
        </w:tc>
        <w:tc>
          <w:tcPr>
            <w:tcW w:w="2280" w:type="dxa"/>
            <w:shd w:val="clear" w:color="auto" w:fill="auto"/>
            <w:noWrap w:val="0"/>
            <w:vAlign w:val="center"/>
          </w:tcPr>
          <w:p w14:paraId="70258F4A">
            <w:pPr>
              <w:keepNext w:val="0"/>
              <w:keepLines w:val="0"/>
              <w:pageBreakBefore w:val="0"/>
              <w:wordWrap/>
              <w:overflowPunct/>
              <w:bidi w:val="0"/>
              <w:spacing w:line="300" w:lineRule="auto"/>
              <w:ind w:left="0" w:leftChars="0" w:right="0" w:rightChars="0"/>
              <w:jc w:val="center"/>
              <w:rPr>
                <w:rFonts w:hint="default" w:ascii="宋体" w:hAnsi="宋体" w:eastAsia="宋体" w:cs="宋体"/>
                <w:b w:val="0"/>
                <w:snapToGrid w:val="0"/>
                <w:color w:val="auto"/>
                <w:spacing w:val="10"/>
                <w:kern w:val="2"/>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48" w:type="dxa"/>
            <w:shd w:val="clear" w:color="auto" w:fill="auto"/>
            <w:noWrap w:val="0"/>
            <w:vAlign w:val="center"/>
          </w:tcPr>
          <w:p w14:paraId="1CD16977">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7E9C8DAF">
            <w:pPr>
              <w:keepNext w:val="0"/>
              <w:keepLines w:val="0"/>
              <w:pageBreakBefore w:val="0"/>
              <w:wordWrap/>
              <w:overflowPunct/>
              <w:bidi w:val="0"/>
              <w:spacing w:line="300" w:lineRule="auto"/>
              <w:ind w:left="0" w:leftChars="0" w:right="0" w:right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2294" w:type="dxa"/>
            <w:noWrap w:val="0"/>
            <w:vAlign w:val="center"/>
          </w:tcPr>
          <w:p w14:paraId="109685B8">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17DF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48FE9B54">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2</w:t>
            </w:r>
          </w:p>
        </w:tc>
        <w:tc>
          <w:tcPr>
            <w:tcW w:w="2280" w:type="dxa"/>
            <w:shd w:val="clear" w:color="auto" w:fill="auto"/>
            <w:noWrap w:val="0"/>
            <w:vAlign w:val="center"/>
          </w:tcPr>
          <w:p w14:paraId="36FFB104">
            <w:pPr>
              <w:keepNext w:val="0"/>
              <w:keepLines w:val="0"/>
              <w:pageBreakBefore w:val="0"/>
              <w:wordWrap/>
              <w:overflowPunct/>
              <w:bidi w:val="0"/>
              <w:spacing w:line="300" w:lineRule="auto"/>
              <w:ind w:left="0" w:leftChars="0" w:right="0" w:rightChars="0"/>
              <w:jc w:val="center"/>
              <w:rPr>
                <w:rFonts w:hint="default" w:ascii="宋体" w:hAnsi="宋体" w:eastAsia="宋体" w:cs="宋体"/>
                <w:bCs/>
                <w:snapToGrid w:val="0"/>
                <w:color w:val="000000"/>
                <w:kern w:val="0"/>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48" w:type="dxa"/>
            <w:shd w:val="clear" w:color="auto" w:fill="auto"/>
            <w:noWrap w:val="0"/>
            <w:vAlign w:val="center"/>
          </w:tcPr>
          <w:p w14:paraId="73AC3C6A">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29897B85">
            <w:pPr>
              <w:adjustRightInd/>
              <w:snapToGrid/>
              <w:spacing w:after="0" w:line="240" w:lineRule="auto"/>
              <w:jc w:val="center"/>
              <w:rPr>
                <w:rFonts w:hint="default" w:ascii="Arial" w:hAnsi="Arial" w:eastAsia="宋体" w:cs="Arial"/>
                <w:b w:val="0"/>
                <w:bCs w:val="0"/>
                <w:snapToGrid w:val="0"/>
                <w:color w:val="000000"/>
                <w:kern w:val="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254B6F54">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280" w:type="dxa"/>
            <w:noWrap w:val="0"/>
            <w:vAlign w:val="center"/>
          </w:tcPr>
          <w:p w14:paraId="056FB743">
            <w:pPr>
              <w:keepNext w:val="0"/>
              <w:keepLines w:val="0"/>
              <w:pageBreakBefore w:val="0"/>
              <w:wordWrap/>
              <w:overflowPunct/>
              <w:bidi w:val="0"/>
              <w:spacing w:line="300" w:lineRule="auto"/>
              <w:ind w:left="0" w:leftChars="0" w:right="0" w:rightChars="0"/>
              <w:jc w:val="center"/>
              <w:rPr>
                <w:rFonts w:hint="default" w:ascii="宋体" w:hAnsi="宋体" w:eastAsia="宋体" w:cs="宋体"/>
                <w:b w:val="0"/>
                <w:color w:val="auto"/>
                <w:spacing w:val="10"/>
                <w:kern w:val="2"/>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48" w:type="dxa"/>
            <w:noWrap w:val="0"/>
            <w:vAlign w:val="center"/>
          </w:tcPr>
          <w:p w14:paraId="6A9FA317">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892" w:type="dxa"/>
            <w:noWrap w:val="0"/>
            <w:vAlign w:val="center"/>
          </w:tcPr>
          <w:p w14:paraId="674D8809">
            <w:pPr>
              <w:adjustRightInd/>
              <w:snapToGrid/>
              <w:spacing w:after="0" w:line="240" w:lineRule="auto"/>
              <w:jc w:val="center"/>
              <w:rPr>
                <w:rFonts w:hint="default" w:ascii="Arial" w:hAnsi="Arial" w:eastAsia="宋体" w:cs="Arial"/>
                <w:b w:val="0"/>
                <w:bCs w:val="0"/>
                <w:kern w:val="0"/>
                <w:sz w:val="21"/>
                <w:szCs w:val="21"/>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2294"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280" w:type="dxa"/>
            <w:noWrap w:val="0"/>
            <w:vAlign w:val="center"/>
          </w:tcPr>
          <w:p w14:paraId="45BC3F12">
            <w:pPr>
              <w:keepNext w:val="0"/>
              <w:keepLines w:val="0"/>
              <w:pageBreakBefore w:val="0"/>
              <w:wordWrap/>
              <w:overflowPunct/>
              <w:bidi w:val="0"/>
              <w:spacing w:line="300" w:lineRule="auto"/>
              <w:ind w:left="0" w:leftChars="0" w:right="0" w:rightChars="0"/>
              <w:jc w:val="center"/>
              <w:rPr>
                <w:rFonts w:hint="default"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48" w:type="dxa"/>
            <w:noWrap w:val="0"/>
            <w:vAlign w:val="center"/>
          </w:tcPr>
          <w:p w14:paraId="6F09FC53">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黑色</w:t>
            </w:r>
          </w:p>
        </w:tc>
        <w:tc>
          <w:tcPr>
            <w:tcW w:w="2892" w:type="dxa"/>
            <w:noWrap w:val="0"/>
            <w:vAlign w:val="center"/>
          </w:tcPr>
          <w:p w14:paraId="30A9BECD">
            <w:pPr>
              <w:adjustRightInd/>
              <w:snapToGrid/>
              <w:spacing w:after="0" w:line="240" w:lineRule="auto"/>
              <w:jc w:val="center"/>
              <w:rPr>
                <w:rFonts w:hint="default" w:ascii="Arial" w:hAnsi="Arial" w:eastAsia="宋体" w:cs="Arial"/>
                <w:b w:val="0"/>
                <w:bCs w:val="0"/>
                <w:kern w:val="0"/>
                <w:sz w:val="21"/>
                <w:szCs w:val="21"/>
                <w:lang w:val="en-US" w:eastAsia="zh-CN"/>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77"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77"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2DDBDA19">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F188596">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1084"/>
      <w:bookmarkStart w:id="99" w:name="_Toc30455"/>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如经甲方验收，发现乙方交付的材料不满足本合同第二条约定的质量标准，如材料的冲击指标低于本合同约定的5%以内，经乙方同意则可折价200/吨，否则按照退货处理。</w:t>
      </w:r>
    </w:p>
    <w:p w14:paraId="7D13463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15"/>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15"/>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4E3CEB"/>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4030D72"/>
    <w:rsid w:val="063D2047"/>
    <w:rsid w:val="063F28CA"/>
    <w:rsid w:val="06555C4C"/>
    <w:rsid w:val="06BF6017"/>
    <w:rsid w:val="06DF3FC3"/>
    <w:rsid w:val="082216E1"/>
    <w:rsid w:val="087052F4"/>
    <w:rsid w:val="08E31B8A"/>
    <w:rsid w:val="08F74524"/>
    <w:rsid w:val="0A3E54A5"/>
    <w:rsid w:val="0B1C39B2"/>
    <w:rsid w:val="0B3D3052"/>
    <w:rsid w:val="0BD75BB1"/>
    <w:rsid w:val="0C97306B"/>
    <w:rsid w:val="0C9E047D"/>
    <w:rsid w:val="0D3C1DC3"/>
    <w:rsid w:val="0E0137ED"/>
    <w:rsid w:val="0E2D3866"/>
    <w:rsid w:val="0F184516"/>
    <w:rsid w:val="0F361EDC"/>
    <w:rsid w:val="0F66217A"/>
    <w:rsid w:val="10F82212"/>
    <w:rsid w:val="12993BC0"/>
    <w:rsid w:val="12E6250F"/>
    <w:rsid w:val="135E2714"/>
    <w:rsid w:val="13C95DDF"/>
    <w:rsid w:val="13DD4624"/>
    <w:rsid w:val="143516C6"/>
    <w:rsid w:val="1441006B"/>
    <w:rsid w:val="144D10FA"/>
    <w:rsid w:val="14860174"/>
    <w:rsid w:val="14B608C1"/>
    <w:rsid w:val="15142E72"/>
    <w:rsid w:val="15BE749A"/>
    <w:rsid w:val="187A6CED"/>
    <w:rsid w:val="18F356AC"/>
    <w:rsid w:val="19416EE3"/>
    <w:rsid w:val="19921369"/>
    <w:rsid w:val="19E54C84"/>
    <w:rsid w:val="1A2B2E16"/>
    <w:rsid w:val="1A584361"/>
    <w:rsid w:val="1CA53035"/>
    <w:rsid w:val="1CB72E06"/>
    <w:rsid w:val="1D406077"/>
    <w:rsid w:val="1E1660C5"/>
    <w:rsid w:val="1EFF2FFD"/>
    <w:rsid w:val="1F5F449A"/>
    <w:rsid w:val="1F9B0ADF"/>
    <w:rsid w:val="1FC00470"/>
    <w:rsid w:val="1FC75507"/>
    <w:rsid w:val="20BD4F1E"/>
    <w:rsid w:val="213B2D65"/>
    <w:rsid w:val="217A4BBD"/>
    <w:rsid w:val="21B97B04"/>
    <w:rsid w:val="22161631"/>
    <w:rsid w:val="22345F2D"/>
    <w:rsid w:val="223760ED"/>
    <w:rsid w:val="229A5157"/>
    <w:rsid w:val="22F1792F"/>
    <w:rsid w:val="22FD7853"/>
    <w:rsid w:val="23005595"/>
    <w:rsid w:val="23BC471C"/>
    <w:rsid w:val="23C06ACA"/>
    <w:rsid w:val="24087AE2"/>
    <w:rsid w:val="2488354C"/>
    <w:rsid w:val="249C3BF3"/>
    <w:rsid w:val="27221F7E"/>
    <w:rsid w:val="28845678"/>
    <w:rsid w:val="28872C4F"/>
    <w:rsid w:val="28AB7D51"/>
    <w:rsid w:val="29156767"/>
    <w:rsid w:val="29BA649E"/>
    <w:rsid w:val="29DE5491"/>
    <w:rsid w:val="2BFC0FF0"/>
    <w:rsid w:val="2C01798C"/>
    <w:rsid w:val="2C7C594D"/>
    <w:rsid w:val="2CD14227"/>
    <w:rsid w:val="2E84406B"/>
    <w:rsid w:val="2EA636D0"/>
    <w:rsid w:val="2F304E13"/>
    <w:rsid w:val="2F4C647C"/>
    <w:rsid w:val="2F8512FC"/>
    <w:rsid w:val="302A1EA4"/>
    <w:rsid w:val="30943860"/>
    <w:rsid w:val="3139239E"/>
    <w:rsid w:val="33BC1065"/>
    <w:rsid w:val="374B4BD9"/>
    <w:rsid w:val="374E4B29"/>
    <w:rsid w:val="38557A9F"/>
    <w:rsid w:val="38970585"/>
    <w:rsid w:val="38FF732C"/>
    <w:rsid w:val="3A4A73CA"/>
    <w:rsid w:val="3C440F6E"/>
    <w:rsid w:val="3CC72F54"/>
    <w:rsid w:val="3D5E4F3B"/>
    <w:rsid w:val="3DCC7449"/>
    <w:rsid w:val="3DE83A67"/>
    <w:rsid w:val="3F0F2990"/>
    <w:rsid w:val="3F473ED8"/>
    <w:rsid w:val="42BD2F8E"/>
    <w:rsid w:val="43364990"/>
    <w:rsid w:val="435B1499"/>
    <w:rsid w:val="440A6827"/>
    <w:rsid w:val="443076C3"/>
    <w:rsid w:val="45603F46"/>
    <w:rsid w:val="45976840"/>
    <w:rsid w:val="47100713"/>
    <w:rsid w:val="474C1085"/>
    <w:rsid w:val="474C1DDB"/>
    <w:rsid w:val="48B325A9"/>
    <w:rsid w:val="4913307D"/>
    <w:rsid w:val="49203109"/>
    <w:rsid w:val="4A7A55DF"/>
    <w:rsid w:val="4ABB39CC"/>
    <w:rsid w:val="4B5E45B8"/>
    <w:rsid w:val="4BAB1C93"/>
    <w:rsid w:val="4BF71DFE"/>
    <w:rsid w:val="4C0E5B77"/>
    <w:rsid w:val="4C25253E"/>
    <w:rsid w:val="4CB92AEE"/>
    <w:rsid w:val="4CF0110C"/>
    <w:rsid w:val="4DC57782"/>
    <w:rsid w:val="4DF810AC"/>
    <w:rsid w:val="4E772300"/>
    <w:rsid w:val="4F0C4E52"/>
    <w:rsid w:val="4F367AC5"/>
    <w:rsid w:val="4FC652ED"/>
    <w:rsid w:val="4FF456D9"/>
    <w:rsid w:val="50054BB6"/>
    <w:rsid w:val="500951DA"/>
    <w:rsid w:val="50390222"/>
    <w:rsid w:val="525E683E"/>
    <w:rsid w:val="53DA53DB"/>
    <w:rsid w:val="543A1E06"/>
    <w:rsid w:val="548E0DEC"/>
    <w:rsid w:val="558A5F87"/>
    <w:rsid w:val="55CA11C1"/>
    <w:rsid w:val="5621082A"/>
    <w:rsid w:val="56625644"/>
    <w:rsid w:val="56B90D23"/>
    <w:rsid w:val="58324C4B"/>
    <w:rsid w:val="589F2DDF"/>
    <w:rsid w:val="595650BB"/>
    <w:rsid w:val="5A13454B"/>
    <w:rsid w:val="5C5477DD"/>
    <w:rsid w:val="5C651E08"/>
    <w:rsid w:val="5D2574A1"/>
    <w:rsid w:val="5D294756"/>
    <w:rsid w:val="5DC2080A"/>
    <w:rsid w:val="5F6B1E45"/>
    <w:rsid w:val="5FC078B7"/>
    <w:rsid w:val="62894684"/>
    <w:rsid w:val="637569B7"/>
    <w:rsid w:val="64032E7A"/>
    <w:rsid w:val="646451EA"/>
    <w:rsid w:val="65586590"/>
    <w:rsid w:val="65B23EF2"/>
    <w:rsid w:val="65D57105"/>
    <w:rsid w:val="661E7492"/>
    <w:rsid w:val="6662250E"/>
    <w:rsid w:val="66D6776C"/>
    <w:rsid w:val="67EB7247"/>
    <w:rsid w:val="67FF3F88"/>
    <w:rsid w:val="6905258B"/>
    <w:rsid w:val="696A45A4"/>
    <w:rsid w:val="69AB353C"/>
    <w:rsid w:val="69DF74C2"/>
    <w:rsid w:val="6A06480C"/>
    <w:rsid w:val="6A0A1AFE"/>
    <w:rsid w:val="6A6D4009"/>
    <w:rsid w:val="6B9F29DB"/>
    <w:rsid w:val="6BFD1C3F"/>
    <w:rsid w:val="6C242CBC"/>
    <w:rsid w:val="6C2947E2"/>
    <w:rsid w:val="6C4A4810"/>
    <w:rsid w:val="6CAD0BB5"/>
    <w:rsid w:val="6D9B34BE"/>
    <w:rsid w:val="6DBB187B"/>
    <w:rsid w:val="6DD6696E"/>
    <w:rsid w:val="6E6B7E58"/>
    <w:rsid w:val="6ECC2E76"/>
    <w:rsid w:val="70D6117E"/>
    <w:rsid w:val="70DE50A1"/>
    <w:rsid w:val="70E231B1"/>
    <w:rsid w:val="714F5BD7"/>
    <w:rsid w:val="72D07765"/>
    <w:rsid w:val="73830C7C"/>
    <w:rsid w:val="73DA76D3"/>
    <w:rsid w:val="74493424"/>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063525"/>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7344</Words>
  <Characters>7672</Characters>
  <Lines>28</Lines>
  <Paragraphs>7</Paragraphs>
  <TotalTime>3</TotalTime>
  <ScaleCrop>false</ScaleCrop>
  <LinksUpToDate>false</LinksUpToDate>
  <CharactersWithSpaces>7907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2025-07-07T09:47:30Z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1F10B29855054C8BA92E0EEC39A8773C_13</vt:lpwstr>
  </property>
  <property fmtid="{D5CDD505-2E9C-101B-9397-08002B2CF9AE}" pid="4" name="KSOTemplateDocerSaveRecord">
    <vt:lpwstr>eyJoZGlkIjoiMTFmZWY0YjkyZGYzN2U1NjdhNTIzNmE5Mjg5OWFmMmIiLCJ1c2VySWQiOiI0MTI0MjA3ODgifQ==</vt:lpwstr>
  </property>
</Properties>
</file>