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2341" w:tblpY="1436"/>
        <w:tblOverlap w:val="never"/>
        <w:tblW w:w="4322" w:type="pct"/>
        <w:tblCellSpacing w:w="0" w:type="dxa"/>
        <w:tblInd w:w="0" w:type="dxa"/>
        <w:tblLayout w:type="autofit"/>
        <w:tblCellMar>
          <w:top w:w="0" w:type="dxa"/>
          <w:left w:w="0" w:type="dxa"/>
          <w:bottom w:w="0" w:type="dxa"/>
          <w:right w:w="0" w:type="dxa"/>
        </w:tblCellMar>
      </w:tblPr>
      <w:tblGrid>
        <w:gridCol w:w="7180"/>
      </w:tblGrid>
      <w:tr w14:paraId="7A27393C">
        <w:tblPrEx>
          <w:tblCellMar>
            <w:top w:w="0" w:type="dxa"/>
            <w:left w:w="0" w:type="dxa"/>
            <w:bottom w:w="0" w:type="dxa"/>
            <w:right w:w="0" w:type="dxa"/>
          </w:tblCellMar>
        </w:tblPrEx>
        <w:trPr>
          <w:tblCellSpacing w:w="0" w:type="dxa"/>
        </w:trPr>
        <w:tc>
          <w:tcPr>
            <w:tcW w:w="5000" w:type="pct"/>
            <w:vAlign w:val="center"/>
          </w:tcPr>
          <w:p w14:paraId="22463586">
            <w:pPr>
              <w:jc w:val="center"/>
              <w:textAlignment w:val="baseline"/>
              <w:rPr>
                <w:rFonts w:hint="default"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 xml:space="preserve">                  </w:t>
            </w:r>
            <w:r>
              <w:rPr>
                <w:rFonts w:hint="eastAsia" w:ascii="宋体" w:hAnsi="宋体" w:eastAsia="宋体" w:cs="宋体"/>
                <w:b/>
                <w:color w:val="auto"/>
                <w:sz w:val="28"/>
                <w:szCs w:val="28"/>
                <w:lang w:val="en-US" w:eastAsia="zh-CN"/>
              </w:rPr>
              <w:t>标书编号：HXZB20250501001</w:t>
            </w:r>
            <w:r>
              <w:rPr>
                <w:rFonts w:hint="eastAsia" w:asciiTheme="majorEastAsia" w:hAnsiTheme="majorEastAsia" w:eastAsiaTheme="majorEastAsia" w:cstheme="majorEastAsia"/>
                <w:b/>
                <w:sz w:val="28"/>
                <w:szCs w:val="28"/>
                <w:lang w:val="en-US" w:eastAsia="zh-CN"/>
              </w:rPr>
              <w:t xml:space="preserve"> -01 </w:t>
            </w:r>
            <w:r>
              <w:rPr>
                <w:rFonts w:hint="eastAsia" w:asciiTheme="majorEastAsia" w:hAnsiTheme="majorEastAsia" w:eastAsiaTheme="majorEastAsia" w:cstheme="majorEastAsia"/>
                <w:b/>
                <w:sz w:val="36"/>
                <w:szCs w:val="36"/>
                <w:lang w:val="en-US" w:eastAsia="zh-CN"/>
              </w:rPr>
              <w:t xml:space="preserve">                                  </w:t>
            </w:r>
          </w:p>
          <w:tbl>
            <w:tblPr>
              <w:tblStyle w:val="9"/>
              <w:tblW w:w="5000" w:type="pct"/>
              <w:tblInd w:w="0" w:type="dxa"/>
              <w:tblLayout w:type="autofit"/>
              <w:tblCellMar>
                <w:top w:w="0" w:type="dxa"/>
                <w:left w:w="0" w:type="dxa"/>
                <w:bottom w:w="0" w:type="dxa"/>
                <w:right w:w="0" w:type="dxa"/>
              </w:tblCellMar>
            </w:tblPr>
            <w:tblGrid>
              <w:gridCol w:w="7180"/>
            </w:tblGrid>
            <w:tr w14:paraId="738B8C4C">
              <w:tc>
                <w:tcPr>
                  <w:tcW w:w="0" w:type="auto"/>
                </w:tcPr>
                <w:p w14:paraId="1D521281">
                  <w:pPr>
                    <w:rPr>
                      <w:rFonts w:hint="eastAsia" w:asciiTheme="majorEastAsia" w:hAnsiTheme="majorEastAsia" w:eastAsiaTheme="majorEastAsia" w:cstheme="majorEastAsia"/>
                      <w:b/>
                      <w:sz w:val="36"/>
                      <w:szCs w:val="36"/>
                      <w:lang w:val="en-US" w:eastAsia="zh-CN"/>
                    </w:rPr>
                  </w:pPr>
                </w:p>
                <w:p w14:paraId="73120829">
                  <w:pP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lang w:val="en-US" w:eastAsia="zh-CN"/>
                    </w:rPr>
                    <w:t>中国机械总院集团</w:t>
                  </w:r>
                  <w:r>
                    <w:rPr>
                      <w:rFonts w:hint="eastAsia" w:asciiTheme="majorEastAsia" w:hAnsiTheme="majorEastAsia" w:eastAsiaTheme="majorEastAsia" w:cstheme="majorEastAsia"/>
                      <w:b/>
                      <w:sz w:val="36"/>
                      <w:szCs w:val="36"/>
                    </w:rPr>
                    <w:t>海西（福建）分院有限公司</w:t>
                  </w:r>
                </w:p>
                <w:p w14:paraId="78AD0932">
                  <w:pPr>
                    <w:ind w:firstLine="1807" w:firstLineChars="500"/>
                    <w:jc w:val="both"/>
                    <w:rPr>
                      <w:rFonts w:ascii="Tahoma" w:hAnsi="Tahoma" w:eastAsia="宋体" w:cs="Tahoma"/>
                      <w:kern w:val="0"/>
                      <w:sz w:val="15"/>
                      <w:szCs w:val="15"/>
                    </w:rPr>
                  </w:pPr>
                  <w:r>
                    <w:rPr>
                      <w:rFonts w:hint="eastAsia" w:asciiTheme="majorEastAsia" w:hAnsiTheme="majorEastAsia" w:eastAsiaTheme="majorEastAsia" w:cstheme="majorEastAsia"/>
                      <w:b/>
                      <w:sz w:val="36"/>
                      <w:szCs w:val="36"/>
                      <w:lang w:val="en-US" w:eastAsia="zh-CN"/>
                    </w:rPr>
                    <w:t>（1600KVA）增容工程</w:t>
                  </w:r>
                  <w:r>
                    <w:rPr>
                      <w:rFonts w:hint="eastAsia" w:asciiTheme="majorEastAsia" w:hAnsiTheme="majorEastAsia" w:eastAsiaTheme="majorEastAsia" w:cstheme="majorEastAsia"/>
                      <w:b/>
                      <w:sz w:val="36"/>
                      <w:szCs w:val="36"/>
                    </w:rPr>
                    <w:t>标</w:t>
                  </w:r>
                  <w:r>
                    <w:rPr>
                      <w:rFonts w:hint="eastAsia" w:asciiTheme="majorEastAsia" w:hAnsiTheme="majorEastAsia" w:eastAsiaTheme="majorEastAsia" w:cstheme="majorEastAsia"/>
                      <w:b/>
                      <w:sz w:val="36"/>
                      <w:szCs w:val="36"/>
                      <w:lang w:val="en-US" w:eastAsia="zh-CN"/>
                    </w:rPr>
                    <w:t>书</w:t>
                  </w:r>
                </w:p>
              </w:tc>
            </w:tr>
          </w:tbl>
          <w:p w14:paraId="3A278DC7">
            <w:pPr>
              <w:widowControl/>
              <w:spacing w:before="55" w:after="55" w:line="305" w:lineRule="atLeast"/>
              <w:ind w:firstLine="420"/>
              <w:jc w:val="left"/>
              <w:rPr>
                <w:rFonts w:ascii="宋体" w:hAnsi="宋体" w:eastAsia="宋体" w:cs="宋体"/>
                <w:kern w:val="0"/>
                <w:sz w:val="28"/>
                <w:szCs w:val="28"/>
              </w:rPr>
            </w:pPr>
          </w:p>
        </w:tc>
      </w:tr>
    </w:tbl>
    <w:p w14:paraId="2DEC6344">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一、项目概况</w:t>
      </w:r>
    </w:p>
    <w:p w14:paraId="1F26CB75">
      <w:pPr>
        <w:pStyle w:val="8"/>
        <w:ind w:left="0" w:leftChars="0" w:firstLine="0" w:firstLineChars="0"/>
        <w:jc w:val="both"/>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项目名称</w:t>
      </w:r>
      <w:r>
        <w:rPr>
          <w:rFonts w:hint="eastAsia" w:asciiTheme="minorEastAsia" w:hAnsiTheme="minorEastAsia" w:eastAsiaTheme="minorEastAsia" w:cstheme="minorEastAsia"/>
          <w:b w:val="0"/>
          <w:bCs w:val="0"/>
          <w:sz w:val="28"/>
          <w:szCs w:val="28"/>
          <w:highlight w:val="none"/>
          <w:lang w:val="en-US" w:eastAsia="zh-CN"/>
        </w:rPr>
        <w:t>：</w:t>
      </w:r>
      <w:r>
        <w:rPr>
          <w:rFonts w:hint="eastAsia" w:ascii="宋体;SimSun" w:hAnsi="宋体;SimSun" w:cs="宋体;SimSun"/>
          <w:b w:val="0"/>
          <w:bCs w:val="0"/>
          <w:color w:val="auto"/>
          <w:spacing w:val="20"/>
          <w:w w:val="90"/>
          <w:sz w:val="28"/>
          <w:szCs w:val="28"/>
          <w:highlight w:val="none"/>
          <w:lang w:val="en-US" w:eastAsia="zh-CN"/>
        </w:rPr>
        <w:t>海西分院14#车间电量增容工程</w:t>
      </w:r>
    </w:p>
    <w:p w14:paraId="33C1D4E1">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二、工程概况</w:t>
      </w:r>
    </w:p>
    <w:p w14:paraId="06512CFB">
      <w:pPr>
        <w:pStyle w:val="14"/>
        <w:numPr>
          <w:ilvl w:val="0"/>
          <w:numId w:val="0"/>
        </w:numPr>
        <w:ind w:left="360" w:leftChars="0" w:hanging="360" w:firstLineChars="0"/>
        <w:rPr>
          <w:rFonts w:hint="eastAsia" w:eastAsiaTheme="minorEastAsia"/>
          <w:sz w:val="28"/>
          <w:szCs w:val="32"/>
          <w:lang w:eastAsia="zh-CN"/>
        </w:rPr>
      </w:pPr>
      <w:r>
        <w:rPr>
          <w:rFonts w:hint="default" w:asciiTheme="minorHAnsi" w:hAnsiTheme="minorHAnsi" w:eastAsiaTheme="minorEastAsia" w:cstheme="minorBidi"/>
          <w:kern w:val="2"/>
          <w:sz w:val="28"/>
          <w:szCs w:val="32"/>
          <w:lang w:val="en-US" w:eastAsia="zh-CN" w:bidi="ar-SA"/>
        </w:rPr>
        <w:t>1</w:t>
      </w:r>
      <w:r>
        <w:rPr>
          <w:rFonts w:hint="eastAsia" w:cstheme="minorBidi"/>
          <w:kern w:val="2"/>
          <w:sz w:val="28"/>
          <w:szCs w:val="32"/>
          <w:lang w:val="en-US" w:eastAsia="zh-CN" w:bidi="ar-SA"/>
        </w:rPr>
        <w:t>、</w:t>
      </w:r>
      <w:r>
        <w:rPr>
          <w:rFonts w:hint="eastAsia"/>
          <w:sz w:val="28"/>
          <w:szCs w:val="32"/>
        </w:rPr>
        <w:t>更换原有电缆，电缆型号为Y</w:t>
      </w:r>
      <w:r>
        <w:rPr>
          <w:sz w:val="28"/>
          <w:szCs w:val="32"/>
        </w:rPr>
        <w:t>JV22-3*185,10KV</w:t>
      </w:r>
      <w:r>
        <w:rPr>
          <w:rFonts w:hint="eastAsia"/>
          <w:sz w:val="28"/>
          <w:szCs w:val="32"/>
        </w:rPr>
        <w:t>，长度预估为2</w:t>
      </w:r>
      <w:r>
        <w:rPr>
          <w:sz w:val="28"/>
          <w:szCs w:val="32"/>
        </w:rPr>
        <w:t>60</w:t>
      </w:r>
      <w:r>
        <w:rPr>
          <w:rFonts w:hint="eastAsia"/>
          <w:sz w:val="28"/>
          <w:szCs w:val="32"/>
        </w:rPr>
        <w:t>米，实测为准，价格为包干价，原有电缆需退回业主指定仓库，破损率不起8</w:t>
      </w:r>
      <w:r>
        <w:rPr>
          <w:sz w:val="28"/>
          <w:szCs w:val="32"/>
        </w:rPr>
        <w:t>0%</w:t>
      </w:r>
      <w:r>
        <w:rPr>
          <w:rFonts w:hint="eastAsia"/>
          <w:sz w:val="28"/>
          <w:szCs w:val="32"/>
          <w:lang w:eastAsia="zh-CN"/>
        </w:rPr>
        <w:t>。</w:t>
      </w:r>
    </w:p>
    <w:p w14:paraId="12D22450">
      <w:pPr>
        <w:pStyle w:val="14"/>
        <w:numPr>
          <w:ilvl w:val="0"/>
          <w:numId w:val="0"/>
        </w:numPr>
        <w:ind w:left="360" w:leftChars="0" w:hanging="360" w:firstLineChars="0"/>
        <w:rPr>
          <w:sz w:val="28"/>
          <w:szCs w:val="32"/>
        </w:rPr>
      </w:pPr>
      <w:r>
        <w:rPr>
          <w:rFonts w:hint="default" w:asciiTheme="minorHAnsi" w:hAnsiTheme="minorHAnsi" w:eastAsiaTheme="minorEastAsia" w:cstheme="minorBidi"/>
          <w:kern w:val="2"/>
          <w:sz w:val="28"/>
          <w:szCs w:val="32"/>
          <w:lang w:val="en-US" w:eastAsia="zh-CN" w:bidi="ar-SA"/>
        </w:rPr>
        <w:t>2</w:t>
      </w:r>
      <w:r>
        <w:rPr>
          <w:rFonts w:hint="eastAsia" w:cstheme="minorBidi"/>
          <w:kern w:val="2"/>
          <w:sz w:val="28"/>
          <w:szCs w:val="32"/>
          <w:lang w:val="en-US" w:eastAsia="zh-CN" w:bidi="ar-SA"/>
        </w:rPr>
        <w:t>、</w:t>
      </w:r>
      <w:r>
        <w:rPr>
          <w:rFonts w:hint="eastAsia"/>
          <w:sz w:val="28"/>
          <w:szCs w:val="32"/>
        </w:rPr>
        <w:t>原有高压进线柜电流互感器更换，铜排更换，计量柜铜排更换，</w:t>
      </w:r>
    </w:p>
    <w:p w14:paraId="46D504AC">
      <w:pPr>
        <w:pStyle w:val="14"/>
        <w:numPr>
          <w:ilvl w:val="0"/>
          <w:numId w:val="0"/>
        </w:numPr>
        <w:ind w:left="360" w:leftChars="0" w:hanging="360" w:firstLineChars="0"/>
        <w:rPr>
          <w:sz w:val="28"/>
          <w:szCs w:val="32"/>
        </w:rPr>
      </w:pPr>
      <w:r>
        <w:rPr>
          <w:rFonts w:hint="default" w:asciiTheme="minorHAnsi" w:hAnsiTheme="minorHAnsi" w:eastAsiaTheme="minorEastAsia" w:cstheme="minorBidi"/>
          <w:kern w:val="2"/>
          <w:sz w:val="28"/>
          <w:szCs w:val="32"/>
          <w:lang w:val="en-US" w:eastAsia="zh-CN" w:bidi="ar-SA"/>
        </w:rPr>
        <w:t>3</w:t>
      </w:r>
      <w:r>
        <w:rPr>
          <w:rFonts w:hint="eastAsia" w:cstheme="minorBidi"/>
          <w:kern w:val="2"/>
          <w:sz w:val="28"/>
          <w:szCs w:val="32"/>
          <w:lang w:val="en-US" w:eastAsia="zh-CN" w:bidi="ar-SA"/>
        </w:rPr>
        <w:t>、</w:t>
      </w:r>
      <w:r>
        <w:rPr>
          <w:rFonts w:hint="eastAsia"/>
          <w:sz w:val="28"/>
          <w:szCs w:val="32"/>
        </w:rPr>
        <w:t>原有配电房新增加一台K</w:t>
      </w:r>
      <w:r>
        <w:rPr>
          <w:sz w:val="28"/>
          <w:szCs w:val="32"/>
        </w:rPr>
        <w:t>YN28</w:t>
      </w:r>
      <w:r>
        <w:rPr>
          <w:rFonts w:hint="eastAsia"/>
          <w:sz w:val="28"/>
          <w:szCs w:val="32"/>
        </w:rPr>
        <w:t>出线柜，互感器变比为1</w:t>
      </w:r>
      <w:r>
        <w:rPr>
          <w:sz w:val="28"/>
          <w:szCs w:val="32"/>
        </w:rPr>
        <w:t>50/5</w:t>
      </w:r>
      <w:r>
        <w:rPr>
          <w:rFonts w:hint="eastAsia"/>
          <w:sz w:val="28"/>
          <w:szCs w:val="32"/>
        </w:rPr>
        <w:t>，配真空断路器及微机保护器，尺寸要求与原柜相同，同时配套相应基础，</w:t>
      </w:r>
    </w:p>
    <w:p w14:paraId="4D6BFE69">
      <w:pPr>
        <w:pStyle w:val="14"/>
        <w:numPr>
          <w:ilvl w:val="0"/>
          <w:numId w:val="0"/>
        </w:numPr>
        <w:ind w:left="360" w:leftChars="0" w:hanging="360" w:firstLineChars="0"/>
        <w:rPr>
          <w:sz w:val="28"/>
          <w:szCs w:val="32"/>
        </w:rPr>
      </w:pPr>
      <w:r>
        <w:rPr>
          <w:rFonts w:hint="default" w:asciiTheme="minorHAnsi" w:hAnsiTheme="minorHAnsi" w:eastAsiaTheme="minorEastAsia" w:cstheme="minorBidi"/>
          <w:kern w:val="2"/>
          <w:sz w:val="28"/>
          <w:szCs w:val="32"/>
          <w:lang w:val="en-US" w:eastAsia="zh-CN" w:bidi="ar-SA"/>
        </w:rPr>
        <w:t>4</w:t>
      </w:r>
      <w:r>
        <w:rPr>
          <w:rFonts w:hint="eastAsia" w:cstheme="minorBidi"/>
          <w:kern w:val="2"/>
          <w:sz w:val="28"/>
          <w:szCs w:val="32"/>
          <w:lang w:val="en-US" w:eastAsia="zh-CN" w:bidi="ar-SA"/>
        </w:rPr>
        <w:t>、</w:t>
      </w:r>
      <w:r>
        <w:rPr>
          <w:rFonts w:hint="eastAsia"/>
          <w:sz w:val="28"/>
          <w:szCs w:val="32"/>
        </w:rPr>
        <w:t>新增高压电缆出线一条，利用原有更换下来的进线电缆，剩余物资退回仓库</w:t>
      </w:r>
    </w:p>
    <w:p w14:paraId="19E30CDE">
      <w:pPr>
        <w:pStyle w:val="14"/>
        <w:numPr>
          <w:ilvl w:val="0"/>
          <w:numId w:val="0"/>
        </w:numPr>
        <w:ind w:left="360" w:leftChars="0" w:hanging="360" w:firstLineChars="0"/>
        <w:rPr>
          <w:sz w:val="28"/>
          <w:szCs w:val="32"/>
          <w:highlight w:val="none"/>
        </w:rPr>
      </w:pPr>
      <w:r>
        <w:rPr>
          <w:rFonts w:hint="default" w:asciiTheme="minorHAnsi" w:hAnsiTheme="minorHAnsi" w:eastAsiaTheme="minorEastAsia" w:cstheme="minorBidi"/>
          <w:kern w:val="2"/>
          <w:sz w:val="28"/>
          <w:szCs w:val="32"/>
          <w:lang w:val="en-US" w:eastAsia="zh-CN" w:bidi="ar-SA"/>
        </w:rPr>
        <w:t>5</w:t>
      </w:r>
      <w:r>
        <w:rPr>
          <w:rFonts w:hint="eastAsia" w:cstheme="minorBidi"/>
          <w:kern w:val="2"/>
          <w:sz w:val="28"/>
          <w:szCs w:val="32"/>
          <w:lang w:val="en-US" w:eastAsia="zh-CN" w:bidi="ar-SA"/>
        </w:rPr>
        <w:t>、</w:t>
      </w:r>
      <w:r>
        <w:rPr>
          <w:rFonts w:hint="eastAsia"/>
          <w:sz w:val="28"/>
          <w:szCs w:val="32"/>
        </w:rPr>
        <w:t>新增一台预制仓</w:t>
      </w:r>
      <w:r>
        <w:rPr>
          <w:rFonts w:hint="eastAsia"/>
          <w:sz w:val="28"/>
          <w:szCs w:val="32"/>
          <w:highlight w:val="none"/>
        </w:rPr>
        <w:t>及基础，内含相应通风、照明、环境管理系统，内装高压柜一台，</w:t>
      </w:r>
      <w:r>
        <w:rPr>
          <w:rFonts w:hint="eastAsia"/>
          <w:sz w:val="28"/>
          <w:szCs w:val="32"/>
          <w:highlight w:val="none"/>
          <w:lang w:val="en-US" w:eastAsia="zh-CN"/>
        </w:rPr>
        <w:t>高压计量柜一台，</w:t>
      </w:r>
      <w:r>
        <w:rPr>
          <w:sz w:val="28"/>
          <w:szCs w:val="32"/>
          <w:highlight w:val="none"/>
        </w:rPr>
        <w:t>SCB14-1600KVA</w:t>
      </w:r>
      <w:r>
        <w:rPr>
          <w:rFonts w:hint="eastAsia"/>
          <w:sz w:val="28"/>
          <w:szCs w:val="32"/>
          <w:highlight w:val="none"/>
        </w:rPr>
        <w:t>变压器一台，低压进线柜一台，补偿柜二台，补偿总容量为5</w:t>
      </w:r>
      <w:r>
        <w:rPr>
          <w:sz w:val="28"/>
          <w:szCs w:val="32"/>
          <w:highlight w:val="none"/>
        </w:rPr>
        <w:t>00KVA</w:t>
      </w:r>
      <w:r>
        <w:rPr>
          <w:rFonts w:hint="eastAsia"/>
          <w:sz w:val="28"/>
          <w:szCs w:val="32"/>
          <w:highlight w:val="none"/>
        </w:rPr>
        <w:t>（补偿柜需带电抗，采用智能电容），出线柜（固定分隔柜）2台，保证6</w:t>
      </w:r>
      <w:r>
        <w:rPr>
          <w:sz w:val="28"/>
          <w:szCs w:val="32"/>
          <w:highlight w:val="none"/>
        </w:rPr>
        <w:t>30A</w:t>
      </w:r>
      <w:r>
        <w:rPr>
          <w:rFonts w:hint="eastAsia"/>
          <w:sz w:val="28"/>
          <w:szCs w:val="32"/>
          <w:highlight w:val="none"/>
        </w:rPr>
        <w:t>出线4路，4</w:t>
      </w:r>
      <w:r>
        <w:rPr>
          <w:sz w:val="28"/>
          <w:szCs w:val="32"/>
          <w:highlight w:val="none"/>
        </w:rPr>
        <w:t>00A</w:t>
      </w:r>
      <w:r>
        <w:rPr>
          <w:rFonts w:hint="eastAsia"/>
          <w:sz w:val="28"/>
          <w:szCs w:val="32"/>
          <w:highlight w:val="none"/>
        </w:rPr>
        <w:t>出线4路。</w:t>
      </w:r>
    </w:p>
    <w:p w14:paraId="5CF4E4F8">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三、合格的投标人必须具备以下条件</w:t>
      </w:r>
    </w:p>
    <w:p w14:paraId="1A552EFF">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 投标申请人须是具备独立法人资格，建设行政主管部门核发的电力工程施工总承包叁级及以上或输变电工程专业承包三级及以上，</w:t>
      </w:r>
      <w:r>
        <w:rPr>
          <w:rFonts w:hint="eastAsia" w:asciiTheme="minorEastAsia" w:hAnsiTheme="minorEastAsia" w:cstheme="minorEastAsia"/>
          <w:sz w:val="28"/>
          <w:szCs w:val="28"/>
          <w:highlight w:val="none"/>
          <w:lang w:val="en-US" w:eastAsia="zh-CN"/>
        </w:rPr>
        <w:t>或</w:t>
      </w:r>
      <w:r>
        <w:rPr>
          <w:rFonts w:hint="eastAsia" w:asciiTheme="minorEastAsia" w:hAnsiTheme="minorEastAsia" w:eastAsiaTheme="minorEastAsia" w:cstheme="minorEastAsia"/>
          <w:sz w:val="28"/>
          <w:szCs w:val="28"/>
          <w:highlight w:val="none"/>
          <w:lang w:val="en-US" w:eastAsia="zh-CN"/>
        </w:rPr>
        <w:t>具有承装（修、试）电力设施许可证的法人或其他组织；投标人须三年具有类似规模业绩，并在人员、设备、资金等方面具有相应的施工能力，且未发生借取他人或向他人出借资质或业绩情况。                                                            （2） 拟派出的项目经理需有小型项目经理或相应的职称证书人员。                                                         （3） 本次招标不接受</w:t>
      </w: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"http://www.caigou2003.com/ll/rcjd/2366005.html" \t "http://www.caigou2003.com/tender/notice/_blank"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sz w:val="28"/>
          <w:szCs w:val="28"/>
          <w:highlight w:val="none"/>
          <w:lang w:val="en-US" w:eastAsia="zh-CN"/>
        </w:rPr>
        <w:t>联合体投标</w:t>
      </w:r>
      <w:r>
        <w:rPr>
          <w:rFonts w:hint="eastAsia" w:asciiTheme="minorEastAsia" w:hAnsiTheme="minorEastAsia" w:eastAsiaTheme="minorEastAsia" w:cstheme="minorEastAsia"/>
          <w:sz w:val="28"/>
          <w:szCs w:val="28"/>
          <w:highlight w:val="none"/>
          <w:lang w:val="en-US" w:eastAsia="zh-CN"/>
        </w:rPr>
        <w:fldChar w:fldCharType="end"/>
      </w:r>
      <w:r>
        <w:rPr>
          <w:rFonts w:hint="eastAsia" w:asciiTheme="minorEastAsia" w:hAnsiTheme="minorEastAsia" w:eastAsiaTheme="minorEastAsia" w:cstheme="minorEastAsia"/>
          <w:sz w:val="28"/>
          <w:szCs w:val="28"/>
          <w:highlight w:val="none"/>
          <w:lang w:val="en-US" w:eastAsia="zh-CN"/>
        </w:rPr>
        <w:t>。                                                   （4）投标人须具备在有效期内的安全生产许可证。</w:t>
      </w:r>
    </w:p>
    <w:p w14:paraId="772B368F">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（5）信誉要求：近三年内未因业务质量问题和违法违规行为受到过相关行政部门处罚。</w:t>
      </w:r>
    </w:p>
    <w:p w14:paraId="732A4BFF">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（6）经营活动正常，依法缴纳税收和社保。</w:t>
      </w:r>
    </w:p>
    <w:p w14:paraId="27110FDB">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四、报价要求： </w:t>
      </w:r>
    </w:p>
    <w:p w14:paraId="23916476">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（1）投标填报的单价应为综合单价，某项单价为完成某项第一计算单位所发生的所有费用，同时后附价格分析表；</w:t>
      </w:r>
    </w:p>
    <w:p w14:paraId="593DDC16">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（2）投标风险：本项目为单价和总价实行一次性闭口包干（包工、包料、</w:t>
      </w:r>
      <w:r>
        <w:rPr>
          <w:rFonts w:hint="eastAsia" w:asciiTheme="minorEastAsia" w:hAnsiTheme="minorEastAsia" w:cstheme="minorEastAsia"/>
          <w:sz w:val="28"/>
          <w:szCs w:val="28"/>
          <w:highlight w:val="none"/>
          <w:lang w:val="en-US" w:eastAsia="zh-CN"/>
        </w:rPr>
        <w:t>包设计、</w:t>
      </w:r>
      <w:r>
        <w:rPr>
          <w:rFonts w:hint="eastAsia" w:asciiTheme="minorEastAsia" w:hAnsiTheme="minorEastAsia" w:eastAsiaTheme="minorEastAsia" w:cstheme="minorEastAsia"/>
          <w:sz w:val="28"/>
          <w:szCs w:val="28"/>
          <w:highlight w:val="none"/>
          <w:lang w:val="en-US" w:eastAsia="zh-CN"/>
        </w:rPr>
        <w:t>包送电）方式且不允许分包；价格一律不作调整（对本文件另有规定外）故投标单位应考虑风险因素；</w:t>
      </w:r>
    </w:p>
    <w:p w14:paraId="18A61323">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（3）投标方应对投标文件中每一项的单价和总价进行填写，单价和总价有矛盾时以单价为准；</w:t>
      </w:r>
    </w:p>
    <w:p w14:paraId="2E83F5AF">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（4）一旦评、议价后中标本工程，所有价格不再进行任何调整；</w:t>
      </w:r>
    </w:p>
    <w:p w14:paraId="712C3214">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（5）中标人须按照国家相关税法，开据</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增值税专用发票。</w:t>
      </w:r>
    </w:p>
    <w:p w14:paraId="27B65E0F">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五、投标文件的递交</w:t>
      </w:r>
    </w:p>
    <w:p w14:paraId="4CA8AC03">
      <w:pPr>
        <w:jc w:val="left"/>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（1）投标文件递交的截止时间（投标截止时间）为202</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lang w:val="en-US" w:eastAsia="zh-CN"/>
        </w:rPr>
        <w:t>月</w:t>
      </w:r>
      <w:r>
        <w:rPr>
          <w:rFonts w:hint="eastAsia" w:asciiTheme="minorEastAsia" w:hAnsiTheme="minorEastAsia" w:cstheme="minorEastAsia"/>
          <w:sz w:val="28"/>
          <w:szCs w:val="28"/>
          <w:highlight w:val="none"/>
          <w:lang w:val="en-US" w:eastAsia="zh-CN"/>
        </w:rPr>
        <w:t>10</w:t>
      </w:r>
      <w:r>
        <w:rPr>
          <w:rFonts w:hint="eastAsia" w:asciiTheme="minorEastAsia" w:hAnsiTheme="minorEastAsia" w:eastAsiaTheme="minorEastAsia" w:cstheme="minorEastAsia"/>
          <w:sz w:val="28"/>
          <w:szCs w:val="28"/>
          <w:highlight w:val="none"/>
          <w:lang w:val="en-US" w:eastAsia="zh-CN"/>
        </w:rPr>
        <w:t>日</w:t>
      </w:r>
      <w:r>
        <w:rPr>
          <w:rFonts w:hint="eastAsia" w:asciiTheme="minorEastAsia" w:hAnsiTheme="minorEastAsia" w:cstheme="minorEastAsia"/>
          <w:sz w:val="28"/>
          <w:szCs w:val="28"/>
          <w:highlight w:val="none"/>
          <w:lang w:val="en-US" w:eastAsia="zh-CN"/>
        </w:rPr>
        <w:t>14</w:t>
      </w:r>
      <w:r>
        <w:rPr>
          <w:rFonts w:hint="eastAsia" w:asciiTheme="minorEastAsia" w:hAnsiTheme="minorEastAsia" w:eastAsiaTheme="minorEastAsia" w:cstheme="minorEastAsia"/>
          <w:sz w:val="28"/>
          <w:szCs w:val="28"/>
          <w:highlight w:val="none"/>
          <w:lang w:val="en-US" w:eastAsia="zh-CN"/>
        </w:rPr>
        <w:t>时</w:t>
      </w: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lang w:val="en-US" w:eastAsia="zh-CN"/>
        </w:rPr>
        <w:t>0分（逾期送达或不符合规定的投标文件恕不接受），</w:t>
      </w:r>
      <w:r>
        <w:rPr>
          <w:rFonts w:hint="eastAsia" w:asciiTheme="minorEastAsia" w:hAnsiTheme="minorEastAsia" w:cstheme="minorEastAsia"/>
          <w:sz w:val="28"/>
          <w:szCs w:val="28"/>
          <w:highlight w:val="none"/>
          <w:lang w:val="en-US" w:eastAsia="zh-CN"/>
        </w:rPr>
        <w:t>纸质标书正本一份，副本四份。</w:t>
      </w:r>
    </w:p>
    <w:p w14:paraId="2DA37381">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b/>
          <w:bCs/>
          <w:i w:val="0"/>
          <w:iCs w:val="0"/>
          <w:sz w:val="28"/>
          <w:szCs w:val="28"/>
          <w:highlight w:val="none"/>
          <w:lang w:val="en-US" w:eastAsia="zh-CN"/>
        </w:rPr>
        <w:t>收件</w:t>
      </w:r>
      <w:r>
        <w:rPr>
          <w:rFonts w:hint="eastAsia" w:asciiTheme="minorEastAsia" w:hAnsiTheme="minorEastAsia" w:eastAsiaTheme="minorEastAsia" w:cstheme="minorEastAsia"/>
          <w:b/>
          <w:bCs/>
          <w:i w:val="0"/>
          <w:iCs w:val="0"/>
          <w:sz w:val="28"/>
          <w:szCs w:val="28"/>
          <w:highlight w:val="none"/>
          <w:lang w:val="en-US" w:eastAsia="zh-CN"/>
        </w:rPr>
        <w:t>地点为：</w:t>
      </w:r>
      <w:r>
        <w:rPr>
          <w:rFonts w:hint="eastAsia" w:asciiTheme="minorEastAsia" w:hAnsiTheme="minorEastAsia" w:cstheme="minorEastAsia"/>
          <w:b w:val="0"/>
          <w:bCs w:val="0"/>
          <w:i w:val="0"/>
          <w:iCs w:val="0"/>
          <w:sz w:val="28"/>
          <w:szCs w:val="28"/>
          <w:highlight w:val="none"/>
          <w:lang w:val="en-US" w:eastAsia="zh-CN"/>
        </w:rPr>
        <w:t>福建省</w:t>
      </w:r>
      <w:r>
        <w:rPr>
          <w:rFonts w:hint="eastAsia" w:asciiTheme="minorEastAsia" w:hAnsiTheme="minorEastAsia" w:eastAsiaTheme="minorEastAsia" w:cstheme="minorEastAsia"/>
          <w:b w:val="0"/>
          <w:bCs w:val="0"/>
          <w:sz w:val="28"/>
          <w:szCs w:val="28"/>
          <w:highlight w:val="none"/>
          <w:lang w:val="en-US" w:eastAsia="zh-CN"/>
        </w:rPr>
        <w:t>三</w:t>
      </w:r>
      <w:r>
        <w:rPr>
          <w:rFonts w:hint="eastAsia" w:asciiTheme="minorEastAsia" w:hAnsiTheme="minorEastAsia" w:eastAsiaTheme="minorEastAsia" w:cstheme="minorEastAsia"/>
          <w:sz w:val="28"/>
          <w:szCs w:val="28"/>
          <w:highlight w:val="none"/>
          <w:lang w:val="en-US" w:eastAsia="zh-CN"/>
        </w:rPr>
        <w:t>明高新技术产业开发区金沙园海西高端装备产业园双创大楼30</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室。</w:t>
      </w:r>
    </w:p>
    <w:p w14:paraId="20DC46D3">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（2）逾期送达的、未送达指定地点的或者不按照招标文件要求密封的投标文件，招标人将予以拒收。</w:t>
      </w:r>
    </w:p>
    <w:p w14:paraId="73A2D1BF">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（3）投标文件：</w:t>
      </w:r>
      <w:r>
        <w:rPr>
          <w:rFonts w:hint="eastAsia" w:asciiTheme="minorEastAsia" w:hAnsiTheme="minorEastAsia" w:eastAsiaTheme="minorEastAsia" w:cstheme="minorEastAsia"/>
          <w:b/>
          <w:bCs/>
          <w:sz w:val="28"/>
          <w:szCs w:val="28"/>
          <w:highlight w:val="none"/>
          <w:lang w:val="en-US" w:eastAsia="zh-CN"/>
        </w:rPr>
        <w:t>包含</w:t>
      </w:r>
      <w:r>
        <w:rPr>
          <w:rFonts w:hint="eastAsia" w:asciiTheme="minorEastAsia" w:hAnsiTheme="minorEastAsia" w:cstheme="minorEastAsia"/>
          <w:b/>
          <w:bCs/>
          <w:sz w:val="28"/>
          <w:szCs w:val="28"/>
          <w:highlight w:val="none"/>
          <w:lang w:val="en-US" w:eastAsia="zh-CN"/>
        </w:rPr>
        <w:t>箱变</w:t>
      </w:r>
      <w:r>
        <w:rPr>
          <w:rFonts w:hint="eastAsia" w:asciiTheme="minorEastAsia" w:hAnsiTheme="minorEastAsia" w:eastAsiaTheme="minorEastAsia" w:cstheme="minorEastAsia"/>
          <w:b/>
          <w:bCs/>
          <w:sz w:val="28"/>
          <w:szCs w:val="28"/>
          <w:highlight w:val="none"/>
          <w:lang w:val="en-US" w:eastAsia="zh-CN"/>
        </w:rPr>
        <w:t>设计、变压器、元器件等品牌详单</w:t>
      </w:r>
      <w:r>
        <w:rPr>
          <w:rFonts w:hint="eastAsia" w:asciiTheme="minorEastAsia" w:hAnsiTheme="minorEastAsia" w:eastAsiaTheme="minorEastAsia" w:cstheme="minorEastAsia"/>
          <w:sz w:val="28"/>
          <w:szCs w:val="28"/>
          <w:highlight w:val="none"/>
          <w:lang w:val="en-US" w:eastAsia="zh-CN"/>
        </w:rPr>
        <w:t>与本标书第三条资质审查文件分开装袋；密封加盖公章报价，只接收纸版。</w:t>
      </w:r>
    </w:p>
    <w:p w14:paraId="11882B9E">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（4）投标保证金：参与投标需缴纳</w:t>
      </w:r>
      <w:r>
        <w:rPr>
          <w:rFonts w:hint="eastAsia" w:asciiTheme="minorEastAsia" w:hAnsiTheme="minorEastAsia" w:cstheme="minorEastAsia"/>
          <w:b/>
          <w:bCs/>
          <w:sz w:val="28"/>
          <w:szCs w:val="28"/>
          <w:highlight w:val="none"/>
          <w:u w:val="single"/>
          <w:lang w:val="en-US" w:eastAsia="zh-CN"/>
        </w:rPr>
        <w:t>贰</w:t>
      </w:r>
      <w:r>
        <w:rPr>
          <w:rFonts w:hint="eastAsia" w:asciiTheme="minorEastAsia" w:hAnsiTheme="minorEastAsia" w:eastAsiaTheme="minorEastAsia" w:cstheme="minorEastAsia"/>
          <w:b/>
          <w:bCs/>
          <w:sz w:val="28"/>
          <w:szCs w:val="28"/>
          <w:highlight w:val="none"/>
          <w:u w:val="single"/>
          <w:lang w:val="en-US" w:eastAsia="zh-CN"/>
        </w:rPr>
        <w:t>万元</w:t>
      </w:r>
      <w:r>
        <w:rPr>
          <w:rFonts w:hint="eastAsia" w:asciiTheme="minorEastAsia" w:hAnsiTheme="minorEastAsia" w:eastAsiaTheme="minorEastAsia" w:cstheme="minorEastAsia"/>
          <w:sz w:val="28"/>
          <w:szCs w:val="28"/>
          <w:highlight w:val="none"/>
          <w:lang w:val="en-US" w:eastAsia="zh-CN"/>
        </w:rPr>
        <w:t>投标保证金，投标保证金202</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lang w:val="en-US" w:eastAsia="zh-CN"/>
        </w:rPr>
        <w:t>月</w:t>
      </w:r>
      <w:r>
        <w:rPr>
          <w:rFonts w:hint="eastAsia" w:asciiTheme="minorEastAsia" w:hAnsiTheme="minorEastAsia" w:cstheme="minorEastAsia"/>
          <w:sz w:val="28"/>
          <w:szCs w:val="28"/>
          <w:highlight w:val="none"/>
          <w:lang w:val="en-US" w:eastAsia="zh-CN"/>
        </w:rPr>
        <w:t>10</w:t>
      </w:r>
      <w:r>
        <w:rPr>
          <w:rFonts w:hint="eastAsia" w:asciiTheme="minorEastAsia" w:hAnsiTheme="minorEastAsia" w:eastAsiaTheme="minorEastAsia" w:cstheme="minorEastAsia"/>
          <w:sz w:val="28"/>
          <w:szCs w:val="28"/>
          <w:highlight w:val="none"/>
          <w:lang w:val="en-US" w:eastAsia="zh-CN"/>
        </w:rPr>
        <w:t xml:space="preserve">日 </w:t>
      </w:r>
      <w:r>
        <w:rPr>
          <w:rFonts w:hint="eastAsia" w:asciiTheme="minorEastAsia" w:hAnsiTheme="minorEastAsia" w:cstheme="minorEastAsia"/>
          <w:sz w:val="28"/>
          <w:szCs w:val="28"/>
          <w:highlight w:val="none"/>
          <w:lang w:val="en-US" w:eastAsia="zh-CN"/>
        </w:rPr>
        <w:t>14</w:t>
      </w:r>
      <w:r>
        <w:rPr>
          <w:rFonts w:hint="eastAsia" w:asciiTheme="minorEastAsia" w:hAnsiTheme="minorEastAsia" w:eastAsiaTheme="minorEastAsia" w:cstheme="minorEastAsia"/>
          <w:sz w:val="28"/>
          <w:szCs w:val="28"/>
          <w:highlight w:val="none"/>
          <w:lang w:val="en-US" w:eastAsia="zh-CN"/>
        </w:rPr>
        <w:t>时</w:t>
      </w:r>
      <w:r>
        <w:rPr>
          <w:rFonts w:hint="eastAsia" w:asciiTheme="minorEastAsia" w:hAnsiTheme="minorEastAsia" w:cstheme="minorEastAsia"/>
          <w:sz w:val="28"/>
          <w:szCs w:val="28"/>
          <w:highlight w:val="none"/>
          <w:lang w:val="en-US" w:eastAsia="zh-CN"/>
        </w:rPr>
        <w:t>30</w:t>
      </w:r>
      <w:r>
        <w:rPr>
          <w:rFonts w:hint="eastAsia" w:asciiTheme="minorEastAsia" w:hAnsiTheme="minorEastAsia" w:eastAsiaTheme="minorEastAsia" w:cstheme="minorEastAsia"/>
          <w:sz w:val="28"/>
          <w:szCs w:val="28"/>
          <w:highlight w:val="none"/>
          <w:lang w:val="en-US" w:eastAsia="zh-CN"/>
        </w:rPr>
        <w:t>分前汇入；账户详见本标书第九条（汇入需备注投标保证金）。</w:t>
      </w:r>
    </w:p>
    <w:p w14:paraId="33F39E45">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（5）无中标单位，五个工作日内原路退还</w:t>
      </w:r>
      <w:r>
        <w:rPr>
          <w:rFonts w:hint="eastAsia" w:asciiTheme="minorEastAsia" w:hAnsiTheme="minorEastAsia" w:cstheme="minorEastAsia"/>
          <w:b/>
          <w:bCs/>
          <w:sz w:val="28"/>
          <w:szCs w:val="28"/>
          <w:highlight w:val="none"/>
          <w:u w:val="single"/>
          <w:lang w:val="en-US" w:eastAsia="zh-CN"/>
        </w:rPr>
        <w:t>贰</w:t>
      </w:r>
      <w:r>
        <w:rPr>
          <w:rFonts w:hint="eastAsia" w:asciiTheme="minorEastAsia" w:hAnsiTheme="minorEastAsia" w:eastAsiaTheme="minorEastAsia" w:cstheme="minorEastAsia"/>
          <w:b/>
          <w:bCs/>
          <w:sz w:val="28"/>
          <w:szCs w:val="28"/>
          <w:highlight w:val="none"/>
          <w:u w:val="single"/>
          <w:lang w:val="en-US" w:eastAsia="zh-CN"/>
        </w:rPr>
        <w:t>万</w:t>
      </w:r>
      <w:r>
        <w:rPr>
          <w:rFonts w:hint="eastAsia" w:asciiTheme="minorEastAsia" w:hAnsiTheme="minorEastAsia" w:cstheme="minorEastAsia"/>
          <w:b/>
          <w:bCs/>
          <w:sz w:val="28"/>
          <w:szCs w:val="28"/>
          <w:highlight w:val="none"/>
          <w:u w:val="single"/>
          <w:lang w:val="en-US" w:eastAsia="zh-CN"/>
        </w:rPr>
        <w:t>元</w:t>
      </w:r>
      <w:r>
        <w:rPr>
          <w:rFonts w:hint="eastAsia" w:asciiTheme="minorEastAsia" w:hAnsiTheme="minorEastAsia" w:eastAsiaTheme="minorEastAsia" w:cstheme="minorEastAsia"/>
          <w:sz w:val="28"/>
          <w:szCs w:val="28"/>
          <w:highlight w:val="none"/>
          <w:lang w:val="en-US" w:eastAsia="zh-CN"/>
        </w:rPr>
        <w:t>投标保证金。</w:t>
      </w:r>
    </w:p>
    <w:p w14:paraId="3BE63130">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（6）中标单位合同签订3天内必须开工，否则视为弃标。</w:t>
      </w:r>
    </w:p>
    <w:p w14:paraId="53548449">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（7）交保证金不投标、中标后弃标等均视为违规，投标保证金不退。</w:t>
      </w:r>
    </w:p>
    <w:p w14:paraId="4C869B88">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（8）投标人提供的一切资料均应以中文为准，如果因为语言误差造成的损失由投标人负责。</w:t>
      </w:r>
    </w:p>
    <w:p w14:paraId="14559F8C">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六</w:t>
      </w:r>
      <w:r>
        <w:rPr>
          <w:rFonts w:hint="eastAsia" w:asciiTheme="minorEastAsia" w:hAnsiTheme="minorEastAsia" w:eastAsiaTheme="minorEastAsia" w:cstheme="minorEastAsia"/>
          <w:sz w:val="28"/>
          <w:szCs w:val="28"/>
          <w:highlight w:val="none"/>
          <w:lang w:val="en-US" w:eastAsia="zh-CN"/>
        </w:rPr>
        <w:t>、付款及质量保证金</w:t>
      </w:r>
      <w:r>
        <w:rPr>
          <w:rFonts w:hint="eastAsia" w:asciiTheme="minorEastAsia" w:hAnsiTheme="minorEastAsia" w:cstheme="minorEastAsia"/>
          <w:sz w:val="28"/>
          <w:szCs w:val="28"/>
          <w:highlight w:val="none"/>
          <w:lang w:val="en-US" w:eastAsia="zh-CN"/>
        </w:rPr>
        <w:t>、质保期、工期</w:t>
      </w:r>
      <w:r>
        <w:rPr>
          <w:rFonts w:hint="eastAsia" w:asciiTheme="minorEastAsia" w:hAnsiTheme="minorEastAsia" w:eastAsiaTheme="minorEastAsia" w:cstheme="minorEastAsia"/>
          <w:sz w:val="28"/>
          <w:szCs w:val="28"/>
          <w:highlight w:val="none"/>
          <w:lang w:val="en-US" w:eastAsia="zh-CN"/>
        </w:rPr>
        <w:t>：</w:t>
      </w:r>
    </w:p>
    <w:p w14:paraId="7749A90B">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（1）合同签订后预付工程总价30%工程款</w:t>
      </w:r>
      <w:r>
        <w:rPr>
          <w:rFonts w:hint="eastAsia" w:asciiTheme="minorEastAsia" w:hAnsiTheme="minorEastAsia" w:cstheme="minorEastAsia"/>
          <w:sz w:val="28"/>
          <w:szCs w:val="28"/>
          <w:highlight w:val="none"/>
          <w:lang w:val="en-US" w:eastAsia="zh-CN"/>
        </w:rPr>
        <w:t>（银行承兑汇票）</w:t>
      </w:r>
      <w:r>
        <w:rPr>
          <w:rFonts w:hint="eastAsia" w:asciiTheme="minorEastAsia" w:hAnsiTheme="minorEastAsia" w:eastAsiaTheme="minorEastAsia" w:cstheme="minorEastAsia"/>
          <w:sz w:val="28"/>
          <w:szCs w:val="28"/>
          <w:highlight w:val="none"/>
          <w:lang w:val="en-US" w:eastAsia="zh-CN"/>
        </w:rPr>
        <w:t>；工程竣工验收合格送电投入使用7个工作日后支付工程总价60%工程款</w:t>
      </w:r>
      <w:r>
        <w:rPr>
          <w:rFonts w:hint="eastAsia" w:asciiTheme="minorEastAsia" w:hAnsiTheme="minorEastAsia" w:cstheme="minorEastAsia"/>
          <w:sz w:val="28"/>
          <w:szCs w:val="28"/>
          <w:highlight w:val="none"/>
          <w:lang w:val="en-US" w:eastAsia="zh-CN"/>
        </w:rPr>
        <w:t>（银行承兑汇票）</w:t>
      </w:r>
      <w:r>
        <w:rPr>
          <w:rFonts w:hint="eastAsia" w:asciiTheme="minorEastAsia" w:hAnsiTheme="minorEastAsia" w:eastAsiaTheme="minorEastAsia" w:cstheme="minorEastAsia"/>
          <w:sz w:val="28"/>
          <w:szCs w:val="28"/>
          <w:highlight w:val="none"/>
          <w:lang w:val="en-US" w:eastAsia="zh-CN"/>
        </w:rPr>
        <w:t>；每次付款前需提供</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等额增值税专用发票后支付工程款。</w:t>
      </w:r>
    </w:p>
    <w:p w14:paraId="2CBC8B24">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 投标保证金</w:t>
      </w:r>
      <w:r>
        <w:rPr>
          <w:rFonts w:hint="eastAsia" w:asciiTheme="minorEastAsia" w:hAnsiTheme="minorEastAsia" w:cstheme="minorEastAsia"/>
          <w:b/>
          <w:bCs/>
          <w:sz w:val="28"/>
          <w:szCs w:val="28"/>
          <w:highlight w:val="none"/>
          <w:u w:val="single"/>
          <w:lang w:val="en-US" w:eastAsia="zh-CN"/>
        </w:rPr>
        <w:t>贰</w:t>
      </w:r>
      <w:r>
        <w:rPr>
          <w:rFonts w:hint="eastAsia" w:asciiTheme="minorEastAsia" w:hAnsiTheme="minorEastAsia" w:eastAsiaTheme="minorEastAsia" w:cstheme="minorEastAsia"/>
          <w:b/>
          <w:bCs/>
          <w:sz w:val="28"/>
          <w:szCs w:val="28"/>
          <w:highlight w:val="none"/>
          <w:u w:val="single"/>
          <w:lang w:val="en-US" w:eastAsia="zh-CN"/>
        </w:rPr>
        <w:t>万元</w:t>
      </w:r>
      <w:r>
        <w:rPr>
          <w:rFonts w:hint="eastAsia" w:asciiTheme="minorEastAsia" w:hAnsiTheme="minorEastAsia" w:eastAsiaTheme="minorEastAsia" w:cstheme="minorEastAsia"/>
          <w:sz w:val="28"/>
          <w:szCs w:val="28"/>
          <w:highlight w:val="none"/>
          <w:lang w:val="en-US" w:eastAsia="zh-CN"/>
        </w:rPr>
        <w:t>作为工程履约保证金，工程竣工验收合格送电投入使用7个工作日后与工程款同时支付；</w:t>
      </w:r>
    </w:p>
    <w:p w14:paraId="3BECE414">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 本工程质量保证期为两年，每到期一年支付5%质保金</w:t>
      </w:r>
      <w:r>
        <w:rPr>
          <w:rFonts w:hint="eastAsia" w:asciiTheme="minorEastAsia" w:hAnsiTheme="minorEastAsia" w:cstheme="minorEastAsia"/>
          <w:sz w:val="28"/>
          <w:szCs w:val="28"/>
          <w:highlight w:val="none"/>
          <w:lang w:val="en-US" w:eastAsia="zh-CN"/>
        </w:rPr>
        <w:t>（银行承兑汇票）</w:t>
      </w:r>
      <w:r>
        <w:rPr>
          <w:rFonts w:hint="eastAsia" w:asciiTheme="minorEastAsia" w:hAnsiTheme="minorEastAsia" w:eastAsiaTheme="minorEastAsia" w:cstheme="minorEastAsia"/>
          <w:sz w:val="28"/>
          <w:szCs w:val="28"/>
          <w:highlight w:val="none"/>
          <w:lang w:val="en-US" w:eastAsia="zh-CN"/>
        </w:rPr>
        <w:t>，保修期从工程竣工验收合格交付使用并移交全部工程技术资料之日算起。</w:t>
      </w:r>
    </w:p>
    <w:p w14:paraId="0EB1F6DA">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（4）工期：30天</w:t>
      </w:r>
      <w:r>
        <w:rPr>
          <w:rFonts w:hint="eastAsia" w:asciiTheme="minorEastAsia" w:hAnsiTheme="minorEastAsia" w:eastAsiaTheme="minorEastAsia" w:cstheme="minorEastAsia"/>
          <w:sz w:val="28"/>
          <w:szCs w:val="28"/>
          <w:highlight w:val="none"/>
          <w:lang w:val="en-US" w:eastAsia="zh-CN"/>
        </w:rPr>
        <w:t xml:space="preserve">  </w:t>
      </w:r>
    </w:p>
    <w:p w14:paraId="7D6C8C88">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lang w:val="en-US" w:eastAsia="zh-CN"/>
        </w:rPr>
        <w:t>）开标：202</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lang w:val="en-US" w:eastAsia="zh-CN"/>
        </w:rPr>
        <w:t> 年</w:t>
      </w:r>
      <w:r>
        <w:rPr>
          <w:rFonts w:hint="eastAsia" w:asciiTheme="minorEastAsia" w:hAnsi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lang w:val="en-US" w:eastAsia="zh-CN"/>
        </w:rPr>
        <w:t>月</w:t>
      </w:r>
      <w:r>
        <w:rPr>
          <w:rFonts w:hint="eastAsia" w:asciiTheme="minorEastAsia" w:hAnsiTheme="minorEastAsia" w:cstheme="minorEastAsia"/>
          <w:sz w:val="28"/>
          <w:szCs w:val="28"/>
          <w:highlight w:val="none"/>
          <w:lang w:val="en-US" w:eastAsia="zh-CN"/>
        </w:rPr>
        <w:t>10</w:t>
      </w:r>
      <w:r>
        <w:rPr>
          <w:rFonts w:hint="eastAsia" w:asciiTheme="minorEastAsia" w:hAnsiTheme="minorEastAsia" w:eastAsiaTheme="minorEastAsia" w:cstheme="minorEastAsia"/>
          <w:sz w:val="28"/>
          <w:szCs w:val="28"/>
          <w:highlight w:val="none"/>
          <w:lang w:val="en-US" w:eastAsia="zh-CN"/>
        </w:rPr>
        <w:t>日</w:t>
      </w:r>
      <w:r>
        <w:rPr>
          <w:rFonts w:hint="eastAsia" w:asciiTheme="minorEastAsia" w:hAnsiTheme="minorEastAsia" w:cstheme="minorEastAsia"/>
          <w:sz w:val="28"/>
          <w:szCs w:val="28"/>
          <w:highlight w:val="none"/>
          <w:lang w:val="en-US" w:eastAsia="zh-CN"/>
        </w:rPr>
        <w:t xml:space="preserve"> 下午14:30 </w:t>
      </w:r>
      <w:r>
        <w:rPr>
          <w:rFonts w:hint="eastAsia" w:asciiTheme="minorEastAsia" w:hAnsiTheme="minorEastAsia" w:eastAsiaTheme="minorEastAsia" w:cstheme="minorEastAsia"/>
          <w:sz w:val="28"/>
          <w:szCs w:val="28"/>
          <w:highlight w:val="none"/>
          <w:lang w:val="en-US" w:eastAsia="zh-CN"/>
        </w:rPr>
        <w:t xml:space="preserve">（若有变化另行通知） </w:t>
      </w:r>
    </w:p>
    <w:p w14:paraId="6E3BD5D0">
      <w:pPr>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七</w:t>
      </w:r>
      <w:r>
        <w:rPr>
          <w:rFonts w:hint="eastAsia" w:asciiTheme="minorEastAsia" w:hAnsiTheme="minorEastAsia" w:eastAsiaTheme="minorEastAsia" w:cstheme="minorEastAsia"/>
          <w:sz w:val="28"/>
          <w:szCs w:val="28"/>
          <w:highlight w:val="none"/>
          <w:lang w:val="en-US" w:eastAsia="zh-CN"/>
        </w:rPr>
        <w:t>、投标注意事项： </w:t>
      </w:r>
    </w:p>
    <w:p w14:paraId="304C37C2">
      <w:pPr>
        <w:ind w:firstLine="560" w:firstLineChars="200"/>
        <w:jc w:val="left"/>
        <w:rPr>
          <w:rFonts w:hint="eastAsia" w:ascii="宋体" w:hAnsi="宋体" w:eastAsia="宋体" w:cs="宋体"/>
          <w:sz w:val="28"/>
          <w:szCs w:val="28"/>
          <w:highlight w:val="none"/>
          <w:lang w:val="en-US" w:eastAsia="zh-CN"/>
        </w:rPr>
      </w:pPr>
      <w:r>
        <w:rPr>
          <w:rFonts w:hint="eastAsia" w:asciiTheme="minorEastAsia" w:hAnsiTheme="minorEastAsia" w:cstheme="minorEastAsia"/>
          <w:sz w:val="28"/>
          <w:szCs w:val="28"/>
          <w:highlight w:val="none"/>
          <w:lang w:val="en-US" w:eastAsia="zh-CN"/>
        </w:rPr>
        <w:t>招</w:t>
      </w:r>
      <w:r>
        <w:rPr>
          <w:rFonts w:hint="eastAsia" w:asciiTheme="minorEastAsia" w:hAnsiTheme="minorEastAsia" w:eastAsiaTheme="minorEastAsia" w:cstheme="minorEastAsia"/>
          <w:sz w:val="28"/>
          <w:szCs w:val="28"/>
          <w:highlight w:val="none"/>
          <w:lang w:val="en-US" w:eastAsia="zh-CN"/>
        </w:rPr>
        <w:t>标文件如有修改，将及时通知各投标方。</w:t>
      </w:r>
      <w:r>
        <w:rPr>
          <w:rFonts w:hint="eastAsia" w:asciiTheme="minorEastAsia" w:hAnsiTheme="minorEastAsia" w:cstheme="minorEastAsia"/>
          <w:sz w:val="28"/>
          <w:szCs w:val="28"/>
          <w:highlight w:val="none"/>
          <w:lang w:val="en-US" w:eastAsia="zh-CN"/>
        </w:rPr>
        <w:t>招标</w:t>
      </w:r>
      <w:r>
        <w:rPr>
          <w:rFonts w:hint="eastAsia" w:asciiTheme="minorEastAsia" w:hAnsiTheme="minorEastAsia" w:eastAsiaTheme="minorEastAsia" w:cstheme="minorEastAsia"/>
          <w:sz w:val="28"/>
          <w:szCs w:val="28"/>
          <w:highlight w:val="none"/>
          <w:lang w:val="en-US" w:eastAsia="zh-CN"/>
        </w:rPr>
        <w:t>文件的修改书将</w:t>
      </w:r>
      <w:r>
        <w:rPr>
          <w:rFonts w:hint="eastAsia" w:ascii="宋体" w:hAnsi="宋体" w:eastAsia="宋体" w:cs="宋体"/>
          <w:sz w:val="28"/>
          <w:szCs w:val="28"/>
          <w:highlight w:val="none"/>
          <w:lang w:val="en-US" w:eastAsia="zh-CN"/>
        </w:rPr>
        <w:t>构成招标文件的一部分，对投标人有约束力。</w:t>
      </w:r>
    </w:p>
    <w:p w14:paraId="78E92404">
      <w:pPr>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八、联系方式</w:t>
      </w:r>
    </w:p>
    <w:p w14:paraId="613BE949">
      <w:pPr>
        <w:keepNext w:val="0"/>
        <w:keepLines w:val="0"/>
        <w:pageBreakBefore w:val="0"/>
        <w:kinsoku/>
        <w:wordWrap/>
        <w:overflowPunct/>
        <w:topLinePunct w:val="0"/>
        <w:bidi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账户名：中国机械总院集团海西(福建）分院有限公司 </w:t>
      </w:r>
    </w:p>
    <w:p w14:paraId="38F7A4C6">
      <w:pPr>
        <w:keepNext w:val="0"/>
        <w:keepLines w:val="0"/>
        <w:pageBreakBefore w:val="0"/>
        <w:kinsoku/>
        <w:wordWrap/>
        <w:overflowPunct/>
        <w:topLinePunct w:val="0"/>
        <w:bidi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开户银行：中国农业银行沙县支行</w:t>
      </w:r>
    </w:p>
    <w:p w14:paraId="72856A26">
      <w:pPr>
        <w:keepNext w:val="0"/>
        <w:keepLines w:val="0"/>
        <w:pageBreakBefore w:val="0"/>
        <w:kinsoku/>
        <w:wordWrap/>
        <w:overflowPunct/>
        <w:topLinePunct w:val="0"/>
        <w:bidi w:val="0"/>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账号：13840101040017600</w:t>
      </w:r>
    </w:p>
    <w:p w14:paraId="3F866E9D">
      <w:pPr>
        <w:tabs>
          <w:tab w:val="left" w:pos="1446"/>
        </w:tabs>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val="en-US" w:eastAsia="zh-CN"/>
        </w:rPr>
        <w:t>李浩东</w:t>
      </w:r>
    </w:p>
    <w:p w14:paraId="11C722BC">
      <w:pPr>
        <w:tabs>
          <w:tab w:val="left" w:pos="1446"/>
        </w:tabs>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联系电话：</w:t>
      </w:r>
      <w:r>
        <w:rPr>
          <w:rFonts w:hint="eastAsia" w:ascii="宋体" w:hAnsi="宋体" w:eastAsia="宋体" w:cs="宋体"/>
          <w:sz w:val="28"/>
          <w:szCs w:val="28"/>
          <w:highlight w:val="none"/>
          <w:lang w:val="en-US" w:eastAsia="zh-CN"/>
        </w:rPr>
        <w:t>18707194032</w:t>
      </w:r>
    </w:p>
    <w:p w14:paraId="2BF2D7F5">
      <w:pPr>
        <w:tabs>
          <w:tab w:val="left" w:pos="1446"/>
        </w:tabs>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纪检监督电话：0598</w:t>
      </w:r>
      <w:r>
        <w:rPr>
          <w:rFonts w:hint="eastAsia" w:ascii="宋体" w:hAnsi="宋体" w:eastAsia="宋体" w:cs="宋体"/>
          <w:sz w:val="28"/>
          <w:szCs w:val="28"/>
          <w:highlight w:val="none"/>
          <w:lang w:val="en-US" w:eastAsia="zh-CN"/>
        </w:rPr>
        <w:t>-5053285</w:t>
      </w:r>
    </w:p>
    <w:p w14:paraId="4A52401B">
      <w:pPr>
        <w:jc w:val="left"/>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2025年6月3日</w:t>
      </w:r>
    </w:p>
    <w:p w14:paraId="3BF2EDB9">
      <w:pPr>
        <w:pStyle w:val="4"/>
        <w:spacing w:line="420" w:lineRule="exact"/>
        <w:ind w:left="0" w:leftChars="0"/>
        <w:jc w:val="both"/>
        <w:outlineLvl w:val="0"/>
        <w:rPr>
          <w:rFonts w:hint="eastAsia"/>
          <w:b/>
          <w:bCs/>
          <w:color w:val="auto"/>
          <w:sz w:val="36"/>
          <w:szCs w:val="36"/>
        </w:rPr>
      </w:pPr>
      <w:bookmarkStart w:id="0" w:name="_Toc480890782"/>
      <w:bookmarkStart w:id="1" w:name="_Toc480299317"/>
    </w:p>
    <w:p w14:paraId="691D2112">
      <w:pPr>
        <w:pStyle w:val="4"/>
        <w:spacing w:after="0" w:line="240" w:lineRule="auto"/>
        <w:ind w:left="0" w:leftChars="0"/>
        <w:jc w:val="center"/>
        <w:outlineLvl w:val="0"/>
        <w:rPr>
          <w:rFonts w:hint="eastAsia"/>
          <w:b/>
          <w:bCs/>
          <w:color w:val="auto"/>
          <w:sz w:val="36"/>
          <w:szCs w:val="36"/>
        </w:rPr>
      </w:pPr>
      <w:bookmarkStart w:id="2" w:name="_GoBack"/>
      <w:bookmarkEnd w:id="2"/>
    </w:p>
    <w:p w14:paraId="45A39FC7">
      <w:pPr>
        <w:pStyle w:val="4"/>
        <w:spacing w:line="420" w:lineRule="exact"/>
        <w:ind w:left="0" w:leftChars="0"/>
        <w:jc w:val="center"/>
        <w:outlineLvl w:val="0"/>
        <w:rPr>
          <w:rFonts w:hint="eastAsia"/>
          <w:b/>
          <w:bCs/>
          <w:color w:val="auto"/>
          <w:sz w:val="36"/>
          <w:szCs w:val="36"/>
        </w:rPr>
      </w:pPr>
    </w:p>
    <w:p w14:paraId="7FF303F7">
      <w:pPr>
        <w:pStyle w:val="4"/>
        <w:spacing w:line="420" w:lineRule="exact"/>
        <w:ind w:left="0" w:leftChars="0"/>
        <w:jc w:val="center"/>
        <w:outlineLvl w:val="0"/>
        <w:rPr>
          <w:rFonts w:hint="eastAsia"/>
          <w:b/>
          <w:bCs/>
          <w:color w:val="auto"/>
          <w:sz w:val="36"/>
          <w:szCs w:val="36"/>
        </w:rPr>
      </w:pPr>
    </w:p>
    <w:p w14:paraId="56776E7B">
      <w:pPr>
        <w:pStyle w:val="4"/>
        <w:spacing w:line="420" w:lineRule="exact"/>
        <w:ind w:left="0" w:leftChars="0"/>
        <w:jc w:val="center"/>
        <w:outlineLvl w:val="0"/>
        <w:rPr>
          <w:rFonts w:hint="eastAsia"/>
          <w:b/>
          <w:bCs/>
          <w:color w:val="auto"/>
          <w:sz w:val="36"/>
          <w:szCs w:val="36"/>
        </w:rPr>
      </w:pPr>
    </w:p>
    <w:p w14:paraId="287AF3A6">
      <w:pPr>
        <w:pStyle w:val="4"/>
        <w:spacing w:line="420" w:lineRule="exact"/>
        <w:ind w:left="0" w:leftChars="0"/>
        <w:jc w:val="center"/>
        <w:outlineLvl w:val="0"/>
        <w:rPr>
          <w:rFonts w:hint="eastAsia"/>
          <w:b/>
          <w:bCs/>
          <w:color w:val="auto"/>
          <w:sz w:val="36"/>
          <w:szCs w:val="36"/>
        </w:rPr>
      </w:pPr>
    </w:p>
    <w:p w14:paraId="7F5EE885">
      <w:pPr>
        <w:pStyle w:val="4"/>
        <w:spacing w:line="420" w:lineRule="exact"/>
        <w:ind w:left="0" w:leftChars="0"/>
        <w:jc w:val="center"/>
        <w:outlineLvl w:val="0"/>
        <w:rPr>
          <w:rFonts w:hint="eastAsia"/>
          <w:b/>
          <w:bCs/>
          <w:color w:val="auto"/>
          <w:sz w:val="36"/>
          <w:szCs w:val="36"/>
        </w:rPr>
      </w:pPr>
    </w:p>
    <w:p w14:paraId="64B999C7">
      <w:pPr>
        <w:pStyle w:val="4"/>
        <w:spacing w:line="420" w:lineRule="exact"/>
        <w:ind w:left="0" w:leftChars="0"/>
        <w:jc w:val="center"/>
        <w:outlineLvl w:val="0"/>
        <w:rPr>
          <w:rFonts w:hint="eastAsia"/>
          <w:b/>
          <w:bCs/>
          <w:color w:val="auto"/>
          <w:sz w:val="36"/>
          <w:szCs w:val="36"/>
        </w:rPr>
      </w:pPr>
    </w:p>
    <w:p w14:paraId="5FE69FE9">
      <w:pPr>
        <w:pStyle w:val="4"/>
        <w:spacing w:line="420" w:lineRule="exact"/>
        <w:ind w:left="0" w:leftChars="0"/>
        <w:jc w:val="center"/>
        <w:outlineLvl w:val="0"/>
        <w:rPr>
          <w:rFonts w:hint="eastAsia"/>
          <w:b/>
          <w:bCs/>
          <w:color w:val="auto"/>
          <w:sz w:val="36"/>
          <w:szCs w:val="36"/>
        </w:rPr>
      </w:pPr>
    </w:p>
    <w:p w14:paraId="6243D6D0">
      <w:pPr>
        <w:pStyle w:val="4"/>
        <w:spacing w:line="420" w:lineRule="exact"/>
        <w:ind w:left="0" w:leftChars="0"/>
        <w:jc w:val="center"/>
        <w:outlineLvl w:val="0"/>
        <w:rPr>
          <w:rFonts w:hint="eastAsia"/>
          <w:b/>
          <w:bCs/>
          <w:color w:val="auto"/>
          <w:sz w:val="36"/>
          <w:szCs w:val="36"/>
        </w:rPr>
      </w:pPr>
    </w:p>
    <w:p w14:paraId="73317A3E">
      <w:pPr>
        <w:pStyle w:val="4"/>
        <w:spacing w:line="420" w:lineRule="exact"/>
        <w:ind w:left="0" w:leftChars="0"/>
        <w:jc w:val="center"/>
        <w:outlineLvl w:val="0"/>
        <w:rPr>
          <w:rFonts w:hint="eastAsia"/>
          <w:b/>
          <w:bCs/>
          <w:color w:val="auto"/>
          <w:sz w:val="36"/>
          <w:szCs w:val="36"/>
        </w:rPr>
      </w:pPr>
    </w:p>
    <w:p w14:paraId="588F1728">
      <w:pPr>
        <w:pStyle w:val="4"/>
        <w:spacing w:line="420" w:lineRule="exact"/>
        <w:ind w:left="0" w:leftChars="0"/>
        <w:jc w:val="center"/>
        <w:outlineLvl w:val="0"/>
        <w:rPr>
          <w:rFonts w:hint="eastAsia"/>
          <w:b/>
          <w:bCs/>
          <w:color w:val="auto"/>
          <w:sz w:val="36"/>
          <w:szCs w:val="36"/>
        </w:rPr>
      </w:pPr>
    </w:p>
    <w:p w14:paraId="3C8D9489">
      <w:pPr>
        <w:pStyle w:val="4"/>
        <w:spacing w:line="420" w:lineRule="exact"/>
        <w:ind w:left="0" w:leftChars="0"/>
        <w:jc w:val="center"/>
        <w:outlineLvl w:val="0"/>
        <w:rPr>
          <w:rFonts w:hint="eastAsia"/>
          <w:b/>
          <w:bCs/>
          <w:color w:val="auto"/>
          <w:sz w:val="36"/>
          <w:szCs w:val="36"/>
        </w:rPr>
      </w:pPr>
    </w:p>
    <w:p w14:paraId="19716BD4">
      <w:pPr>
        <w:pStyle w:val="4"/>
        <w:spacing w:line="420" w:lineRule="exact"/>
        <w:ind w:left="0" w:leftChars="0"/>
        <w:jc w:val="center"/>
        <w:outlineLvl w:val="0"/>
        <w:rPr>
          <w:rFonts w:hint="eastAsia"/>
          <w:b/>
          <w:bCs/>
          <w:color w:val="auto"/>
          <w:sz w:val="36"/>
          <w:szCs w:val="36"/>
        </w:rPr>
      </w:pPr>
    </w:p>
    <w:p w14:paraId="5245AAF9">
      <w:pPr>
        <w:pStyle w:val="4"/>
        <w:spacing w:line="420" w:lineRule="exact"/>
        <w:ind w:left="0" w:leftChars="0"/>
        <w:jc w:val="center"/>
        <w:outlineLvl w:val="0"/>
        <w:rPr>
          <w:rFonts w:hint="eastAsia"/>
          <w:b/>
          <w:bCs/>
          <w:color w:val="auto"/>
          <w:sz w:val="36"/>
          <w:szCs w:val="36"/>
        </w:rPr>
      </w:pPr>
    </w:p>
    <w:p w14:paraId="0DD46E17">
      <w:pPr>
        <w:pStyle w:val="4"/>
        <w:spacing w:line="420" w:lineRule="exact"/>
        <w:ind w:left="0" w:leftChars="0"/>
        <w:jc w:val="center"/>
        <w:outlineLvl w:val="0"/>
        <w:rPr>
          <w:rFonts w:hint="eastAsia"/>
          <w:b/>
          <w:bCs/>
          <w:color w:val="auto"/>
          <w:sz w:val="36"/>
          <w:szCs w:val="36"/>
        </w:rPr>
      </w:pPr>
    </w:p>
    <w:p w14:paraId="0CFF2E79">
      <w:pPr>
        <w:pStyle w:val="4"/>
        <w:spacing w:line="420" w:lineRule="exact"/>
        <w:ind w:left="0" w:leftChars="0"/>
        <w:jc w:val="center"/>
        <w:outlineLvl w:val="0"/>
        <w:rPr>
          <w:rFonts w:hint="eastAsia"/>
          <w:b/>
          <w:bCs/>
          <w:color w:val="auto"/>
          <w:sz w:val="36"/>
          <w:szCs w:val="36"/>
        </w:rPr>
      </w:pPr>
    </w:p>
    <w:p w14:paraId="0E954BB7">
      <w:pPr>
        <w:pStyle w:val="4"/>
        <w:spacing w:line="420" w:lineRule="exact"/>
        <w:ind w:left="0" w:leftChars="0"/>
        <w:jc w:val="both"/>
        <w:outlineLvl w:val="0"/>
        <w:rPr>
          <w:rFonts w:hint="eastAsia"/>
          <w:b/>
          <w:bCs/>
          <w:color w:val="auto"/>
          <w:sz w:val="36"/>
          <w:szCs w:val="36"/>
        </w:rPr>
      </w:pPr>
    </w:p>
    <w:p w14:paraId="37037C09">
      <w:pPr>
        <w:pStyle w:val="4"/>
        <w:spacing w:line="420" w:lineRule="exact"/>
        <w:ind w:left="0" w:leftChars="0"/>
        <w:jc w:val="center"/>
        <w:outlineLvl w:val="0"/>
        <w:rPr>
          <w:b/>
          <w:bCs/>
          <w:color w:val="auto"/>
          <w:sz w:val="36"/>
          <w:szCs w:val="36"/>
        </w:rPr>
      </w:pPr>
      <w:r>
        <w:rPr>
          <w:rFonts w:hint="eastAsia"/>
          <w:b/>
          <w:bCs/>
          <w:color w:val="auto"/>
          <w:sz w:val="36"/>
          <w:szCs w:val="36"/>
        </w:rPr>
        <w:t xml:space="preserve"> </w:t>
      </w:r>
      <w:r>
        <w:rPr>
          <w:rFonts w:hint="eastAsia"/>
          <w:b/>
          <w:bCs/>
          <w:color w:val="auto"/>
          <w:sz w:val="36"/>
          <w:szCs w:val="36"/>
          <w:lang w:val="en-US" w:eastAsia="zh-CN"/>
        </w:rPr>
        <w:t>评标</w:t>
      </w:r>
      <w:r>
        <w:rPr>
          <w:rFonts w:hint="eastAsia"/>
          <w:b/>
          <w:bCs/>
          <w:color w:val="auto"/>
          <w:sz w:val="36"/>
          <w:szCs w:val="36"/>
        </w:rPr>
        <w:t>办法</w:t>
      </w:r>
      <w:bookmarkEnd w:id="0"/>
      <w:bookmarkEnd w:id="1"/>
    </w:p>
    <w:p w14:paraId="6AD7B3F3">
      <w:pPr>
        <w:pStyle w:val="4"/>
        <w:spacing w:after="0" w:line="360" w:lineRule="auto"/>
        <w:ind w:left="0" w:leftChars="0" w:firstLine="482" w:firstLineChars="200"/>
        <w:rPr>
          <w:rFonts w:hint="eastAsia" w:ascii="宋体" w:hAnsi="宋体" w:eastAsia="宋体" w:cs="宋体"/>
          <w:b/>
          <w:bCs/>
          <w:color w:val="auto"/>
          <w:sz w:val="28"/>
          <w:szCs w:val="28"/>
        </w:rPr>
      </w:pPr>
      <w:r>
        <w:rPr>
          <w:rFonts w:hint="eastAsia" w:ascii="宋体" w:hAnsi="宋体"/>
          <w:b/>
          <w:bCs/>
          <w:color w:val="auto"/>
          <w:sz w:val="24"/>
          <w:szCs w:val="24"/>
          <w:lang w:val="en-US" w:eastAsia="zh-CN"/>
        </w:rPr>
        <w:t>一</w:t>
      </w:r>
      <w:r>
        <w:rPr>
          <w:rFonts w:hint="eastAsia" w:ascii="宋体" w:hAnsi="宋体" w:eastAsia="宋体" w:cs="宋体"/>
          <w:b/>
          <w:bCs/>
          <w:color w:val="auto"/>
          <w:sz w:val="28"/>
          <w:szCs w:val="28"/>
          <w:lang w:val="en-US" w:eastAsia="zh-CN"/>
        </w:rPr>
        <w:t>、评标</w:t>
      </w:r>
      <w:r>
        <w:rPr>
          <w:rFonts w:hint="eastAsia" w:ascii="宋体" w:hAnsi="宋体" w:eastAsia="宋体" w:cs="宋体"/>
          <w:b/>
          <w:bCs/>
          <w:color w:val="auto"/>
          <w:sz w:val="28"/>
          <w:szCs w:val="28"/>
        </w:rPr>
        <w:t>原则</w:t>
      </w:r>
    </w:p>
    <w:p w14:paraId="4990DB6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评标工作应根据《中华人民共和国</w:t>
      </w:r>
      <w:r>
        <w:rPr>
          <w:rFonts w:hint="eastAsia" w:ascii="宋体" w:hAnsi="宋体" w:eastAsia="宋体" w:cs="宋体"/>
          <w:color w:val="auto"/>
          <w:sz w:val="28"/>
          <w:szCs w:val="28"/>
          <w:lang w:eastAsia="zh-CN"/>
        </w:rPr>
        <w:t>招标投标</w:t>
      </w:r>
      <w:r>
        <w:rPr>
          <w:rFonts w:hint="eastAsia" w:ascii="宋体" w:hAnsi="宋体" w:eastAsia="宋体" w:cs="宋体"/>
          <w:color w:val="auto"/>
          <w:sz w:val="28"/>
          <w:szCs w:val="28"/>
        </w:rPr>
        <w:t>法》和国家、地方面政府有关</w:t>
      </w:r>
      <w:r>
        <w:rPr>
          <w:rFonts w:hint="eastAsia" w:ascii="宋体" w:hAnsi="宋体" w:eastAsia="宋体" w:cs="宋体"/>
          <w:color w:val="auto"/>
          <w:sz w:val="28"/>
          <w:szCs w:val="28"/>
          <w:lang w:eastAsia="zh-CN"/>
        </w:rPr>
        <w:t>招标投标</w:t>
      </w:r>
      <w:r>
        <w:rPr>
          <w:rFonts w:hint="eastAsia" w:ascii="宋体" w:hAnsi="宋体" w:eastAsia="宋体" w:cs="宋体"/>
          <w:color w:val="auto"/>
          <w:sz w:val="28"/>
          <w:szCs w:val="28"/>
        </w:rPr>
        <w:t>法规的有关规定，遵循“公平、公正、诚实信用、科学、择优”的原则进行。评标委员会将按照规定只对通过资格及响应性审查的各合格</w:t>
      </w:r>
      <w:r>
        <w:rPr>
          <w:rFonts w:hint="eastAsia" w:ascii="宋体" w:hAnsi="宋体" w:eastAsia="宋体" w:cs="宋体"/>
          <w:color w:val="auto"/>
          <w:sz w:val="28"/>
          <w:szCs w:val="28"/>
          <w:lang w:eastAsia="zh-CN"/>
        </w:rPr>
        <w:t>投标人</w:t>
      </w:r>
      <w:r>
        <w:rPr>
          <w:rFonts w:hint="eastAsia" w:ascii="宋体" w:hAnsi="宋体" w:eastAsia="宋体" w:cs="宋体"/>
          <w:color w:val="auto"/>
          <w:sz w:val="28"/>
          <w:szCs w:val="28"/>
        </w:rPr>
        <w:t>进行评价和比较。</w:t>
      </w:r>
    </w:p>
    <w:p w14:paraId="75ABEB8F">
      <w:pPr>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评标</w:t>
      </w:r>
      <w:r>
        <w:rPr>
          <w:rFonts w:hint="eastAsia" w:ascii="宋体" w:hAnsi="宋体" w:eastAsia="宋体" w:cs="宋体"/>
          <w:b/>
          <w:bCs/>
          <w:color w:val="auto"/>
          <w:sz w:val="28"/>
          <w:szCs w:val="28"/>
          <w:highlight w:val="none"/>
        </w:rPr>
        <w:t>办法类型</w:t>
      </w:r>
    </w:p>
    <w:p w14:paraId="79EF5611">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本工程采用</w:t>
      </w:r>
      <w:r>
        <w:rPr>
          <w:rFonts w:hint="eastAsia" w:ascii="宋体" w:hAnsi="宋体" w:eastAsia="宋体" w:cs="宋体"/>
          <w:b/>
          <w:bCs/>
          <w:color w:val="auto"/>
          <w:sz w:val="28"/>
          <w:szCs w:val="28"/>
          <w:highlight w:val="none"/>
          <w:lang w:val="en-US" w:eastAsia="zh-CN"/>
        </w:rPr>
        <w:t>综合</w:t>
      </w:r>
      <w:r>
        <w:rPr>
          <w:rFonts w:hint="eastAsia" w:ascii="宋体" w:hAnsi="宋体" w:eastAsia="宋体" w:cs="宋体"/>
          <w:b/>
          <w:bCs/>
          <w:color w:val="auto"/>
          <w:sz w:val="28"/>
          <w:szCs w:val="28"/>
          <w:highlight w:val="none"/>
        </w:rPr>
        <w:t>评分法</w:t>
      </w:r>
      <w:r>
        <w:rPr>
          <w:rFonts w:hint="eastAsia" w:ascii="宋体" w:hAnsi="宋体" w:eastAsia="宋体" w:cs="宋体"/>
          <w:bCs/>
          <w:color w:val="auto"/>
          <w:sz w:val="28"/>
          <w:szCs w:val="28"/>
          <w:highlight w:val="none"/>
        </w:rPr>
        <w:t>评标</w:t>
      </w: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rPr>
        <w:t>评标定标工作由</w:t>
      </w:r>
      <w:r>
        <w:rPr>
          <w:rFonts w:hint="eastAsia" w:ascii="宋体" w:hAnsi="宋体" w:eastAsia="宋体" w:cs="宋体"/>
          <w:bCs/>
          <w:color w:val="auto"/>
          <w:sz w:val="28"/>
          <w:szCs w:val="28"/>
          <w:highlight w:val="none"/>
          <w:lang w:eastAsia="zh-CN"/>
        </w:rPr>
        <w:t>招标</w:t>
      </w:r>
      <w:r>
        <w:rPr>
          <w:rFonts w:hint="eastAsia" w:ascii="宋体" w:hAnsi="宋体" w:eastAsia="宋体" w:cs="宋体"/>
          <w:bCs/>
          <w:color w:val="auto"/>
          <w:sz w:val="28"/>
          <w:szCs w:val="28"/>
          <w:highlight w:val="none"/>
        </w:rPr>
        <w:t>人组织的评标小组进行</w:t>
      </w:r>
      <w:r>
        <w:rPr>
          <w:rFonts w:hint="eastAsia" w:ascii="宋体" w:hAnsi="宋体" w:eastAsia="宋体" w:cs="宋体"/>
          <w:color w:val="auto"/>
          <w:sz w:val="28"/>
          <w:szCs w:val="28"/>
          <w:highlight w:val="none"/>
        </w:rPr>
        <w:t>。</w:t>
      </w:r>
    </w:p>
    <w:p w14:paraId="51B7A2A2">
      <w:pPr>
        <w:pStyle w:val="4"/>
        <w:spacing w:after="0" w:line="360" w:lineRule="auto"/>
        <w:ind w:left="0" w:leftChars="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.评审内容</w:t>
      </w:r>
    </w:p>
    <w:p w14:paraId="26176A4A">
      <w:pPr>
        <w:pStyle w:val="4"/>
        <w:spacing w:after="0"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符合性评审（包括资格审查）；</w:t>
      </w:r>
    </w:p>
    <w:p w14:paraId="653540A9">
      <w:pPr>
        <w:pStyle w:val="4"/>
        <w:spacing w:after="0"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2 </w:t>
      </w:r>
      <w:r>
        <w:rPr>
          <w:rFonts w:hint="eastAsia" w:ascii="宋体" w:hAnsi="宋体" w:eastAsia="宋体" w:cs="宋体"/>
          <w:color w:val="auto"/>
          <w:sz w:val="28"/>
          <w:szCs w:val="28"/>
          <w:highlight w:val="none"/>
        </w:rPr>
        <w:t>投标报价</w:t>
      </w:r>
      <w:r>
        <w:rPr>
          <w:rFonts w:hint="eastAsia" w:ascii="宋体" w:hAnsi="宋体" w:eastAsia="宋体" w:cs="宋体"/>
          <w:color w:val="auto"/>
          <w:sz w:val="28"/>
          <w:szCs w:val="28"/>
        </w:rPr>
        <w:t>；</w:t>
      </w:r>
    </w:p>
    <w:p w14:paraId="38E0BF5D">
      <w:pPr>
        <w:pStyle w:val="4"/>
        <w:spacing w:after="0" w:line="360" w:lineRule="auto"/>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综合评审。</w:t>
      </w:r>
    </w:p>
    <w:p w14:paraId="01393F50">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.评审程序</w:t>
      </w:r>
    </w:p>
    <w:p w14:paraId="2FF94FF3">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color w:val="auto"/>
          <w:sz w:val="28"/>
          <w:szCs w:val="28"/>
        </w:rPr>
        <w:t>1评标小组评委按</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文件要求对各</w:t>
      </w:r>
      <w:r>
        <w:rPr>
          <w:rFonts w:hint="eastAsia" w:ascii="宋体" w:hAnsi="宋体" w:eastAsia="宋体" w:cs="宋体"/>
          <w:color w:val="auto"/>
          <w:sz w:val="28"/>
          <w:szCs w:val="28"/>
          <w:lang w:eastAsia="zh-CN"/>
        </w:rPr>
        <w:t>投标人</w:t>
      </w:r>
      <w:r>
        <w:rPr>
          <w:rFonts w:hint="eastAsia" w:ascii="宋体" w:hAnsi="宋体" w:eastAsia="宋体" w:cs="宋体"/>
          <w:color w:val="auto"/>
          <w:sz w:val="28"/>
          <w:szCs w:val="28"/>
        </w:rPr>
        <w:t>的</w:t>
      </w: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文件进行符合性评审（包括资格审查），确认其</w:t>
      </w: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文件是否实质上响应</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文件的要求，对实质上响应</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文件要求的</w:t>
      </w:r>
      <w:r>
        <w:rPr>
          <w:rFonts w:hint="eastAsia" w:ascii="宋体" w:hAnsi="宋体" w:eastAsia="宋体" w:cs="宋体"/>
          <w:color w:val="auto"/>
          <w:sz w:val="28"/>
          <w:szCs w:val="28"/>
          <w:lang w:eastAsia="zh-CN"/>
        </w:rPr>
        <w:t>投标</w:t>
      </w:r>
      <w:r>
        <w:rPr>
          <w:rFonts w:hint="eastAsia" w:ascii="宋体" w:hAnsi="宋体" w:eastAsia="宋体" w:cs="宋体"/>
          <w:color w:val="auto"/>
          <w:sz w:val="28"/>
          <w:szCs w:val="28"/>
        </w:rPr>
        <w:t>文件进入下一步评审。</w:t>
      </w:r>
      <w:r>
        <w:rPr>
          <w:rFonts w:hint="eastAsia" w:ascii="宋体" w:hAnsi="宋体" w:eastAsia="宋体" w:cs="宋体"/>
          <w:bCs/>
          <w:color w:val="auto"/>
          <w:sz w:val="28"/>
          <w:szCs w:val="28"/>
        </w:rPr>
        <w:t>凡不符合</w:t>
      </w:r>
      <w:r>
        <w:rPr>
          <w:rFonts w:hint="eastAsia" w:ascii="宋体" w:hAnsi="宋体" w:eastAsia="宋体" w:cs="宋体"/>
          <w:bCs/>
          <w:color w:val="auto"/>
          <w:sz w:val="28"/>
          <w:szCs w:val="28"/>
          <w:lang w:eastAsia="zh-CN"/>
        </w:rPr>
        <w:t>投标</w:t>
      </w:r>
      <w:r>
        <w:rPr>
          <w:rFonts w:hint="eastAsia" w:ascii="宋体" w:hAnsi="宋体" w:eastAsia="宋体" w:cs="宋体"/>
          <w:bCs/>
          <w:color w:val="auto"/>
          <w:sz w:val="28"/>
          <w:szCs w:val="28"/>
        </w:rPr>
        <w:t>资质条件、专业条件要求、</w:t>
      </w:r>
      <w:r>
        <w:rPr>
          <w:rFonts w:hint="eastAsia" w:ascii="宋体" w:hAnsi="宋体" w:eastAsia="宋体" w:cs="宋体"/>
          <w:bCs/>
          <w:color w:val="auto"/>
          <w:sz w:val="28"/>
          <w:szCs w:val="28"/>
          <w:lang w:eastAsia="zh-CN"/>
        </w:rPr>
        <w:t>投标</w:t>
      </w:r>
      <w:r>
        <w:rPr>
          <w:rFonts w:hint="eastAsia" w:ascii="宋体" w:hAnsi="宋体" w:eastAsia="宋体" w:cs="宋体"/>
          <w:bCs/>
          <w:color w:val="auto"/>
          <w:sz w:val="28"/>
          <w:szCs w:val="28"/>
        </w:rPr>
        <w:t>要求和未实质性响应</w:t>
      </w:r>
      <w:r>
        <w:rPr>
          <w:rFonts w:hint="eastAsia" w:ascii="宋体" w:hAnsi="宋体" w:eastAsia="宋体" w:cs="宋体"/>
          <w:bCs/>
          <w:color w:val="auto"/>
          <w:sz w:val="28"/>
          <w:szCs w:val="28"/>
          <w:lang w:eastAsia="zh-CN"/>
        </w:rPr>
        <w:t>招标</w:t>
      </w:r>
      <w:r>
        <w:rPr>
          <w:rFonts w:hint="eastAsia" w:ascii="宋体" w:hAnsi="宋体" w:eastAsia="宋体" w:cs="宋体"/>
          <w:bCs/>
          <w:color w:val="auto"/>
          <w:sz w:val="28"/>
          <w:szCs w:val="28"/>
        </w:rPr>
        <w:t>文件要求的</w:t>
      </w:r>
      <w:r>
        <w:rPr>
          <w:rFonts w:hint="eastAsia" w:ascii="宋体" w:hAnsi="宋体" w:eastAsia="宋体" w:cs="宋体"/>
          <w:bCs/>
          <w:color w:val="auto"/>
          <w:sz w:val="28"/>
          <w:szCs w:val="28"/>
          <w:lang w:eastAsia="zh-CN"/>
        </w:rPr>
        <w:t>投标</w:t>
      </w:r>
      <w:r>
        <w:rPr>
          <w:rFonts w:hint="eastAsia" w:ascii="宋体" w:hAnsi="宋体" w:eastAsia="宋体" w:cs="宋体"/>
          <w:bCs/>
          <w:color w:val="auto"/>
          <w:sz w:val="28"/>
          <w:szCs w:val="28"/>
        </w:rPr>
        <w:t>以及未按</w:t>
      </w:r>
      <w:r>
        <w:rPr>
          <w:rFonts w:hint="eastAsia" w:ascii="宋体" w:hAnsi="宋体" w:eastAsia="宋体" w:cs="宋体"/>
          <w:bCs/>
          <w:color w:val="auto"/>
          <w:sz w:val="28"/>
          <w:szCs w:val="28"/>
          <w:lang w:eastAsia="zh-CN"/>
        </w:rPr>
        <w:t>招标</w:t>
      </w:r>
      <w:r>
        <w:rPr>
          <w:rFonts w:hint="eastAsia" w:ascii="宋体" w:hAnsi="宋体" w:eastAsia="宋体" w:cs="宋体"/>
          <w:bCs/>
          <w:color w:val="auto"/>
          <w:sz w:val="28"/>
          <w:szCs w:val="28"/>
        </w:rPr>
        <w:t>文件要求的</w:t>
      </w:r>
      <w:r>
        <w:rPr>
          <w:rFonts w:hint="eastAsia" w:ascii="宋体" w:hAnsi="宋体" w:eastAsia="宋体" w:cs="宋体"/>
          <w:bCs/>
          <w:color w:val="auto"/>
          <w:sz w:val="28"/>
          <w:szCs w:val="28"/>
          <w:lang w:eastAsia="zh-CN"/>
        </w:rPr>
        <w:t>投标</w:t>
      </w:r>
      <w:r>
        <w:rPr>
          <w:rFonts w:hint="eastAsia" w:ascii="宋体" w:hAnsi="宋体" w:eastAsia="宋体" w:cs="宋体"/>
          <w:bCs/>
          <w:color w:val="auto"/>
          <w:sz w:val="28"/>
          <w:szCs w:val="28"/>
        </w:rPr>
        <w:t>格式进行</w:t>
      </w:r>
      <w:r>
        <w:rPr>
          <w:rFonts w:hint="eastAsia" w:ascii="宋体" w:hAnsi="宋体" w:eastAsia="宋体" w:cs="宋体"/>
          <w:bCs/>
          <w:color w:val="auto"/>
          <w:sz w:val="28"/>
          <w:szCs w:val="28"/>
          <w:lang w:eastAsia="zh-CN"/>
        </w:rPr>
        <w:t>投标</w:t>
      </w:r>
      <w:r>
        <w:rPr>
          <w:rFonts w:hint="eastAsia" w:ascii="宋体" w:hAnsi="宋体" w:eastAsia="宋体" w:cs="宋体"/>
          <w:bCs/>
          <w:color w:val="auto"/>
          <w:sz w:val="28"/>
          <w:szCs w:val="28"/>
        </w:rPr>
        <w:t>的均为废标，不进入评分程序。</w:t>
      </w:r>
    </w:p>
    <w:p w14:paraId="01DAC4E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2评标小组评委根据</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文件所确定的评标办法对通过符合性评审的</w:t>
      </w:r>
      <w:r>
        <w:rPr>
          <w:rFonts w:hint="eastAsia" w:ascii="宋体" w:hAnsi="宋体" w:eastAsia="宋体" w:cs="宋体"/>
          <w:color w:val="auto"/>
          <w:sz w:val="28"/>
          <w:szCs w:val="28"/>
          <w:lang w:eastAsia="zh-CN"/>
        </w:rPr>
        <w:t>投标人</w:t>
      </w:r>
      <w:r>
        <w:rPr>
          <w:rFonts w:hint="eastAsia" w:ascii="宋体" w:hAnsi="宋体" w:eastAsia="宋体" w:cs="宋体"/>
          <w:color w:val="auto"/>
          <w:sz w:val="28"/>
          <w:szCs w:val="28"/>
        </w:rPr>
        <w:t>进行</w:t>
      </w:r>
      <w:r>
        <w:rPr>
          <w:rFonts w:hint="eastAsia" w:ascii="宋体" w:hAnsi="宋体" w:eastAsia="宋体" w:cs="宋体"/>
          <w:color w:val="auto"/>
          <w:sz w:val="28"/>
          <w:szCs w:val="28"/>
          <w:lang w:eastAsia="zh-CN"/>
        </w:rPr>
        <w:t>投标投标</w:t>
      </w:r>
      <w:r>
        <w:rPr>
          <w:rFonts w:hint="eastAsia" w:ascii="宋体" w:hAnsi="宋体" w:eastAsia="宋体" w:cs="宋体"/>
          <w:color w:val="auto"/>
          <w:sz w:val="28"/>
          <w:szCs w:val="28"/>
        </w:rPr>
        <w:t>及技术、商务因素评分。</w:t>
      </w:r>
    </w:p>
    <w:p w14:paraId="6AEEDE3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3汇总评标小组评委各项评分，统计结果。</w:t>
      </w:r>
    </w:p>
    <w:p w14:paraId="5B6402E3">
      <w:pPr>
        <w:widowControl/>
        <w:spacing w:line="360" w:lineRule="auto"/>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rPr>
        <w:t>.其他方面要求</w:t>
      </w:r>
    </w:p>
    <w:p w14:paraId="7F00A361">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本工程</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文件未尽事宜，按照《中华人民共和国</w:t>
      </w:r>
      <w:r>
        <w:rPr>
          <w:rFonts w:hint="eastAsia" w:ascii="宋体" w:hAnsi="宋体" w:eastAsia="宋体" w:cs="宋体"/>
          <w:color w:val="auto"/>
          <w:sz w:val="28"/>
          <w:szCs w:val="28"/>
          <w:lang w:eastAsia="zh-CN"/>
        </w:rPr>
        <w:t>招标投标</w:t>
      </w:r>
      <w:r>
        <w:rPr>
          <w:rFonts w:hint="eastAsia" w:ascii="宋体" w:hAnsi="宋体" w:eastAsia="宋体" w:cs="宋体"/>
          <w:color w:val="auto"/>
          <w:sz w:val="28"/>
          <w:szCs w:val="28"/>
        </w:rPr>
        <w:t>法》、《福建省</w:t>
      </w:r>
      <w:r>
        <w:rPr>
          <w:rFonts w:hint="eastAsia" w:ascii="宋体" w:hAnsi="宋体" w:eastAsia="宋体" w:cs="宋体"/>
          <w:color w:val="auto"/>
          <w:sz w:val="28"/>
          <w:szCs w:val="28"/>
          <w:lang w:eastAsia="zh-CN"/>
        </w:rPr>
        <w:t>招标投标</w:t>
      </w:r>
      <w:r>
        <w:rPr>
          <w:rFonts w:hint="eastAsia" w:ascii="宋体" w:hAnsi="宋体" w:eastAsia="宋体" w:cs="宋体"/>
          <w:color w:val="auto"/>
          <w:sz w:val="28"/>
          <w:szCs w:val="28"/>
        </w:rPr>
        <w:t>管理办法》等有关法规、规定执行。</w:t>
      </w:r>
    </w:p>
    <w:p w14:paraId="5402AC68">
      <w:pPr>
        <w:keepNext w:val="0"/>
        <w:keepLines w:val="0"/>
        <w:pageBreakBefore w:val="0"/>
        <w:kinsoku/>
        <w:wordWrap/>
        <w:overflowPunct/>
        <w:topLinePunct w:val="0"/>
        <w:autoSpaceDE/>
        <w:autoSpaceDN/>
        <w:bidi w:val="0"/>
        <w:adjustRightInd/>
        <w:snapToGrid/>
        <w:spacing w:line="360" w:lineRule="auto"/>
        <w:ind w:firstLine="551" w:firstLineChars="196"/>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.评审标准</w:t>
      </w:r>
    </w:p>
    <w:p w14:paraId="36099A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rPr>
        <w:t>评分标准的总分为100分，其分值由</w:t>
      </w:r>
      <w:r>
        <w:rPr>
          <w:rFonts w:hint="eastAsia" w:asciiTheme="minorEastAsia" w:hAnsiTheme="minorEastAsia" w:eastAsiaTheme="minorEastAsia" w:cstheme="minorEastAsia"/>
          <w:color w:val="auto"/>
          <w:sz w:val="28"/>
          <w:szCs w:val="28"/>
          <w:lang w:val="en-US" w:eastAsia="zh-CN"/>
        </w:rPr>
        <w:t>技术部分</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45</w:t>
      </w:r>
      <w:r>
        <w:rPr>
          <w:rFonts w:hint="eastAsia" w:asciiTheme="minorEastAsia" w:hAnsiTheme="minorEastAsia" w:eastAsiaTheme="minorEastAsia" w:cstheme="minorEastAsia"/>
          <w:color w:val="auto"/>
          <w:sz w:val="28"/>
          <w:szCs w:val="28"/>
          <w:highlight w:val="none"/>
        </w:rPr>
        <w:t>分）</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商务部</w:t>
      </w:r>
      <w:r>
        <w:rPr>
          <w:rFonts w:hint="eastAsia" w:asciiTheme="minorEastAsia" w:hAnsiTheme="minorEastAsia" w:eastAsiaTheme="minorEastAsia" w:cstheme="minorEastAsia"/>
          <w:color w:val="auto"/>
          <w:sz w:val="28"/>
          <w:szCs w:val="28"/>
          <w:highlight w:val="none"/>
        </w:rPr>
        <w:t>分(</w:t>
      </w:r>
      <w:r>
        <w:rPr>
          <w:rFonts w:hint="eastAsia" w:asciiTheme="minorEastAsia" w:hAnsiTheme="minorEastAsia" w:eastAsiaTheme="minorEastAsia" w:cstheme="minorEastAsia"/>
          <w:color w:val="auto"/>
          <w:sz w:val="28"/>
          <w:szCs w:val="28"/>
          <w:highlight w:val="none"/>
          <w:lang w:val="en-US" w:eastAsia="zh-CN"/>
        </w:rPr>
        <w:t>30</w:t>
      </w:r>
      <w:r>
        <w:rPr>
          <w:rFonts w:hint="eastAsia" w:asciiTheme="minorEastAsia" w:hAnsiTheme="minorEastAsia" w:eastAsiaTheme="minorEastAsia" w:cstheme="minorEastAsia"/>
          <w:color w:val="auto"/>
          <w:sz w:val="28"/>
          <w:szCs w:val="28"/>
          <w:highlight w:val="none"/>
        </w:rPr>
        <w:t>分)</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价格部分（25分）</w:t>
      </w:r>
      <w:r>
        <w:rPr>
          <w:rFonts w:hint="eastAsia" w:asciiTheme="minorEastAsia" w:hAnsiTheme="minorEastAsia" w:eastAsiaTheme="minorEastAsia" w:cstheme="minorEastAsia"/>
          <w:color w:val="auto"/>
          <w:sz w:val="28"/>
          <w:szCs w:val="28"/>
          <w:highlight w:val="none"/>
        </w:rPr>
        <w:t>组成</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评审标准具体如下：</w:t>
      </w:r>
    </w:p>
    <w:p w14:paraId="0144FD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（一）技术部分（45 分）​</w:t>
      </w:r>
    </w:p>
    <w:p w14:paraId="2CFF97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技术方案合理性（10 分）：方案充分结合项目现场实际情况，对电力设备增容改造、电网结构优化等设计科学合理，施工流程清晰，得 7 - 10 分；方案基本可行，但存在部分细节不足，得 3 - 6 分；方案缺乏可行性，得 0 - 2 分。​</w:t>
      </w:r>
    </w:p>
    <w:p w14:paraId="275EBC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设备选型与参数响应（15 分）：所选电力设备（如变压器、断路器等）品牌、型号、性能参数完全满足增容工程需求，且符合国家及行业标准，得 10 - 15 分；部分参数不满足但不影响核心功能，每项扣 1 - 3 分，扣完为止。​</w:t>
      </w:r>
    </w:p>
    <w:p w14:paraId="68B6D2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施工组织设计（12 分）：​</w:t>
      </w:r>
    </w:p>
    <w:p w14:paraId="685F29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进度计划（6 分）：施工进度计划合理，关键节点明确，工期承诺不超过招标文件要求且科学紧凑，得 4 - 6 分；进度计划基本合理，但存在部分不合理之处，得 1 - 3 分；进度计划混乱，工期明显不合理，得 0 分。​</w:t>
      </w:r>
    </w:p>
    <w:p w14:paraId="6F85E2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资源配置（6 分）：人员、机械、材料等资源配置充足且调配科学，能保障工期顺利推进，得 4 - 6 分；资源配置基本满足要求，但存在部分缺口，得 1 - 3 分；资源配置严重不足，得 0 分。​</w:t>
      </w:r>
    </w:p>
    <w:p w14:paraId="7CA255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安全与质量保障措施（8 分）：制定完善的施工安全管理制度，对高空作业、带电作业等危险环节有专项防护方案；质量保证体系健全，检验检测流程规范，得 5 - 8 分；措施基本完备，得 2 - 4 分；保障措施不健全，得 0 - 1 分。​</w:t>
      </w:r>
    </w:p>
    <w:p w14:paraId="73699C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（二）商务部分（30 分）​</w:t>
      </w:r>
    </w:p>
    <w:p w14:paraId="444EB3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企业资质与业绩（10 分）：具备电力工程施工总承包 [X] 级及以上资质，安全生产许可证有效；近三年有 3 个及以上类似增容工程成功案例，得 7 - 10 分；资质基本齐全，案例较少，得 3 - 6 分；无相关资质或业绩，得 0 - 2 分。​</w:t>
      </w:r>
    </w:p>
    <w:p w14:paraId="25637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项目团队实力（8 分）：项目经理具有电力工程专业一级建造师资格，且有同类项目管理经验；技术负责人具备高级工程师职称，团队人员专业搭配合理，得 5 - 8 分；团队配置基本达标，得 2 - 4 分；团队能力不足，得 0 - 1 分。​</w:t>
      </w:r>
    </w:p>
    <w:p w14:paraId="32196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售后服务承诺（6 分）：承诺提供至少</w:t>
      </w:r>
      <w:r>
        <w:rPr>
          <w:rFonts w:hint="eastAsia" w:asciiTheme="minorEastAsia" w:hAnsi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 xml:space="preserve"> 年免费质保期，质保期内故障响应时间不超过 </w:t>
      </w:r>
      <w:r>
        <w:rPr>
          <w:rFonts w:hint="eastAsia" w:asciiTheme="minorEastAsia" w:hAnsiTheme="minorEastAsia" w:cstheme="minorEastAsia"/>
          <w:sz w:val="28"/>
          <w:szCs w:val="28"/>
          <w:highlight w:val="none"/>
          <w:lang w:val="en-US" w:eastAsia="zh-CN"/>
        </w:rPr>
        <w:t>24</w:t>
      </w:r>
      <w:r>
        <w:rPr>
          <w:rFonts w:hint="eastAsia" w:asciiTheme="minorEastAsia" w:hAnsiTheme="minorEastAsia" w:eastAsiaTheme="minorEastAsia" w:cstheme="minorEastAsia"/>
          <w:sz w:val="28"/>
          <w:szCs w:val="28"/>
          <w:highlight w:val="none"/>
        </w:rPr>
        <w:t xml:space="preserve"> 小时；定期提供设备巡检、维护培训等服务，得 4 - 6 分；售后服务承诺基本满足要求，得 1 - 3 分；承诺内容不明确，得 0 分。​</w:t>
      </w:r>
    </w:p>
    <w:p w14:paraId="0A6BE5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支付方式响应（6 分）：投标文件提出的支付方式完全响应招标文件要求，且付款节点设置合理，有利于项目推进和资金管控，得 4 - 6 分；支付方式基本响应，但存在部分调整建议且合理，得 1 - 3 分；支付方式与招标文件要求不符，得 0 分。​</w:t>
      </w:r>
    </w:p>
    <w:p w14:paraId="5FAC45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（三）价格部分（25 分）​</w:t>
      </w:r>
    </w:p>
    <w:p w14:paraId="5E1747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采用低价优先法计算得分：满足招标文件要求且投标价格最低的投标报价为评标基准价，其价格分为满分 25 分。其他投标人的价格分按照公式：价格得分 = （评标基准价 / 投标报价）×25 计算。</w:t>
      </w:r>
    </w:p>
    <w:p w14:paraId="4BF24AE9">
      <w:pPr>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.定标办法</w:t>
      </w:r>
    </w:p>
    <w:p w14:paraId="784D35C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1总得分</w:t>
      </w:r>
    </w:p>
    <w:p w14:paraId="7F64C8B5">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综合得分 =（</w:t>
      </w:r>
      <w:r>
        <w:rPr>
          <w:rFonts w:hint="eastAsia" w:ascii="宋体" w:hAnsi="宋体" w:eastAsia="宋体" w:cs="宋体"/>
          <w:color w:val="auto"/>
          <w:sz w:val="28"/>
          <w:szCs w:val="28"/>
          <w:highlight w:val="none"/>
          <w:lang w:val="en-US" w:eastAsia="zh-CN"/>
        </w:rPr>
        <w:t>技术分+商务分+价格</w:t>
      </w:r>
      <w:r>
        <w:rPr>
          <w:rFonts w:hint="eastAsia" w:ascii="宋体" w:hAnsi="宋体" w:eastAsia="宋体" w:cs="宋体"/>
          <w:color w:val="auto"/>
          <w:sz w:val="28"/>
          <w:szCs w:val="28"/>
          <w:highlight w:val="none"/>
        </w:rPr>
        <w:t>分）。</w:t>
      </w:r>
    </w:p>
    <w:p w14:paraId="38E1B7C5">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评委评审打分、计分过程中各项分数均取小数点后两位，小数点后第三位四舍五入。根据各评委的打分结果，在计算</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商务综合得分时，对评委的商务部分的打分结果分别汇总，再进行算术平均，计算出各有效</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的商务因素得分。</w:t>
      </w:r>
    </w:p>
    <w:p w14:paraId="1B4D361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评标小组评委依据综合得分高低顺序依次确定中标候选人，评分以</w:t>
      </w:r>
      <w:r>
        <w:rPr>
          <w:rFonts w:hint="eastAsia" w:ascii="宋体" w:hAnsi="宋体" w:eastAsia="宋体" w:cs="宋体"/>
          <w:color w:val="auto"/>
          <w:sz w:val="28"/>
          <w:szCs w:val="28"/>
          <w:highlight w:val="none"/>
          <w:lang w:val="en-US" w:eastAsia="zh-CN"/>
        </w:rPr>
        <w:t>价格最低</w:t>
      </w:r>
      <w:r>
        <w:rPr>
          <w:rFonts w:hint="eastAsia" w:ascii="宋体" w:hAnsi="宋体" w:eastAsia="宋体" w:cs="宋体"/>
          <w:color w:val="auto"/>
          <w:sz w:val="28"/>
          <w:szCs w:val="28"/>
          <w:highlight w:val="none"/>
        </w:rPr>
        <w:t>者作为第一中标候选人。如果出现</w:t>
      </w:r>
      <w:r>
        <w:rPr>
          <w:rFonts w:hint="eastAsia" w:ascii="宋体" w:hAnsi="宋体" w:eastAsia="宋体" w:cs="宋体"/>
          <w:color w:val="auto"/>
          <w:sz w:val="28"/>
          <w:szCs w:val="28"/>
          <w:highlight w:val="none"/>
          <w:lang w:val="en-US" w:eastAsia="zh-CN"/>
        </w:rPr>
        <w:t>报价相同最低</w:t>
      </w:r>
      <w:r>
        <w:rPr>
          <w:rFonts w:hint="eastAsia" w:ascii="宋体" w:hAnsi="宋体" w:eastAsia="宋体" w:cs="宋体"/>
          <w:color w:val="auto"/>
          <w:sz w:val="28"/>
          <w:szCs w:val="28"/>
          <w:highlight w:val="none"/>
        </w:rPr>
        <w:t>，则确定</w:t>
      </w:r>
      <w:r>
        <w:rPr>
          <w:rFonts w:hint="eastAsia" w:ascii="宋体" w:hAnsi="宋体" w:eastAsia="宋体" w:cs="宋体"/>
          <w:color w:val="auto"/>
          <w:sz w:val="28"/>
          <w:szCs w:val="28"/>
          <w:highlight w:val="none"/>
          <w:lang w:val="en-US" w:eastAsia="zh-CN"/>
        </w:rPr>
        <w:t>综合得分者</w:t>
      </w:r>
      <w:r>
        <w:rPr>
          <w:rFonts w:hint="eastAsia" w:ascii="宋体" w:hAnsi="宋体" w:eastAsia="宋体" w:cs="宋体"/>
          <w:color w:val="auto"/>
          <w:sz w:val="28"/>
          <w:szCs w:val="28"/>
          <w:highlight w:val="none"/>
        </w:rPr>
        <w:t>排名在前；</w:t>
      </w:r>
      <w:r>
        <w:rPr>
          <w:rFonts w:hint="eastAsia" w:ascii="宋体" w:hAnsi="宋体" w:eastAsia="宋体" w:cs="宋体"/>
          <w:color w:val="auto"/>
          <w:sz w:val="28"/>
          <w:szCs w:val="28"/>
          <w:highlight w:val="none"/>
          <w:lang w:val="en-US" w:eastAsia="zh-CN"/>
        </w:rPr>
        <w:t>综合得分</w:t>
      </w:r>
      <w:r>
        <w:rPr>
          <w:rFonts w:hint="eastAsia" w:ascii="宋体" w:hAnsi="宋体" w:eastAsia="宋体" w:cs="宋体"/>
          <w:color w:val="auto"/>
          <w:sz w:val="28"/>
          <w:szCs w:val="28"/>
          <w:highlight w:val="none"/>
        </w:rPr>
        <w:t>仍相同时则采用抽签方式现场确定中标候选人。</w:t>
      </w:r>
    </w:p>
    <w:p w14:paraId="7FCAD4F8">
      <w:pPr>
        <w:jc w:val="left"/>
        <w:rPr>
          <w:rFonts w:hint="eastAsia" w:ascii="宋体" w:hAnsi="宋体" w:eastAsia="宋体" w:cs="宋体"/>
          <w:sz w:val="28"/>
          <w:szCs w:val="28"/>
          <w:highlight w:val="none"/>
          <w:lang w:val="en-US" w:eastAsia="zh-CN"/>
        </w:rPr>
      </w:pP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rPr>
        <w:t>中标人因不可抗力或者自身原因放弃中标资格或者不能履行合同的，</w:t>
      </w:r>
      <w:r>
        <w:rPr>
          <w:rFonts w:hint="eastAsia" w:ascii="宋体" w:hAnsi="宋体" w:eastAsia="宋体" w:cs="宋体"/>
          <w:color w:val="auto"/>
          <w:sz w:val="28"/>
          <w:szCs w:val="28"/>
          <w:highlight w:val="none"/>
          <w:lang w:eastAsia="zh-CN"/>
        </w:rPr>
        <w:t>招标</w:t>
      </w:r>
      <w:r>
        <w:rPr>
          <w:rFonts w:hint="eastAsia" w:ascii="宋体" w:hAnsi="宋体" w:eastAsia="宋体" w:cs="宋体"/>
          <w:color w:val="auto"/>
          <w:sz w:val="28"/>
          <w:szCs w:val="28"/>
          <w:highlight w:val="none"/>
        </w:rPr>
        <w:t>人可取消其中标资格，中标人还应对</w:t>
      </w:r>
      <w:r>
        <w:rPr>
          <w:rFonts w:hint="eastAsia" w:ascii="宋体" w:hAnsi="宋体" w:eastAsia="宋体" w:cs="宋体"/>
          <w:color w:val="auto"/>
          <w:sz w:val="28"/>
          <w:szCs w:val="28"/>
          <w:highlight w:val="none"/>
          <w:lang w:val="en-US" w:eastAsia="zh-CN"/>
        </w:rPr>
        <w:t>招标人造成的损失</w:t>
      </w:r>
      <w:r>
        <w:rPr>
          <w:rFonts w:hint="eastAsia" w:ascii="宋体" w:hAnsi="宋体" w:eastAsia="宋体" w:cs="宋体"/>
          <w:color w:val="auto"/>
          <w:sz w:val="28"/>
          <w:szCs w:val="28"/>
          <w:highlight w:val="none"/>
        </w:rPr>
        <w:t>予以赔偿。同时，</w:t>
      </w:r>
      <w:r>
        <w:rPr>
          <w:rFonts w:hint="eastAsia" w:ascii="宋体" w:hAnsi="宋体" w:eastAsia="宋体" w:cs="宋体"/>
          <w:color w:val="auto"/>
          <w:sz w:val="28"/>
          <w:szCs w:val="28"/>
          <w:highlight w:val="none"/>
          <w:lang w:eastAsia="zh-CN"/>
        </w:rPr>
        <w:t>招标</w:t>
      </w:r>
      <w:r>
        <w:rPr>
          <w:rFonts w:hint="eastAsia" w:ascii="宋体" w:hAnsi="宋体" w:eastAsia="宋体" w:cs="宋体"/>
          <w:color w:val="auto"/>
          <w:sz w:val="28"/>
          <w:szCs w:val="28"/>
          <w:highlight w:val="none"/>
        </w:rPr>
        <w:t>人可以视情况与排位在中标人之后第一位的中标候选人签订合同，以此类</w:t>
      </w:r>
      <w:r>
        <w:rPr>
          <w:rFonts w:hint="eastAsia" w:ascii="宋体" w:hAnsi="宋体" w:eastAsia="宋体" w:cs="宋体"/>
          <w:color w:val="auto"/>
          <w:sz w:val="28"/>
          <w:szCs w:val="28"/>
          <w:highlight w:val="none"/>
          <w:lang w:val="en-US" w:eastAsia="zh-CN"/>
        </w:rPr>
        <w:t>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EB852">
    <w:pPr>
      <w:pStyle w:val="5"/>
    </w:pPr>
    <w:r>
      <w:br w:type="textWrapping"/>
    </w:r>
    <w:r>
      <w:br w:type="textWrapping"/>
    </w:r>
    <w:r>
      <w:br w:type="textWrapp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45"/>
    <w:rsid w:val="00046298"/>
    <w:rsid w:val="00167BBC"/>
    <w:rsid w:val="001C2885"/>
    <w:rsid w:val="001D5DA5"/>
    <w:rsid w:val="00321E79"/>
    <w:rsid w:val="00341F72"/>
    <w:rsid w:val="00396E12"/>
    <w:rsid w:val="00421C46"/>
    <w:rsid w:val="0043669A"/>
    <w:rsid w:val="0056574D"/>
    <w:rsid w:val="005D3799"/>
    <w:rsid w:val="006F5FAF"/>
    <w:rsid w:val="007C47E4"/>
    <w:rsid w:val="00822BB0"/>
    <w:rsid w:val="00866EBF"/>
    <w:rsid w:val="009A13F4"/>
    <w:rsid w:val="009E65D6"/>
    <w:rsid w:val="00AA0118"/>
    <w:rsid w:val="00AA17BB"/>
    <w:rsid w:val="00B32845"/>
    <w:rsid w:val="00F13B69"/>
    <w:rsid w:val="00F45BC5"/>
    <w:rsid w:val="01274EA1"/>
    <w:rsid w:val="049609C3"/>
    <w:rsid w:val="04A93953"/>
    <w:rsid w:val="08721869"/>
    <w:rsid w:val="09182BED"/>
    <w:rsid w:val="092B2505"/>
    <w:rsid w:val="0BE71F10"/>
    <w:rsid w:val="0D4E7DAA"/>
    <w:rsid w:val="0E890210"/>
    <w:rsid w:val="12DF4F34"/>
    <w:rsid w:val="1525714C"/>
    <w:rsid w:val="18800583"/>
    <w:rsid w:val="19B7492C"/>
    <w:rsid w:val="19CA3CA6"/>
    <w:rsid w:val="1A444BF9"/>
    <w:rsid w:val="1B17719E"/>
    <w:rsid w:val="1D60388D"/>
    <w:rsid w:val="1F0223FF"/>
    <w:rsid w:val="22EF3388"/>
    <w:rsid w:val="235304D5"/>
    <w:rsid w:val="24596E30"/>
    <w:rsid w:val="26093C3C"/>
    <w:rsid w:val="2811576F"/>
    <w:rsid w:val="2A1F356C"/>
    <w:rsid w:val="2B8C4898"/>
    <w:rsid w:val="2BB21BEF"/>
    <w:rsid w:val="2E4F7E98"/>
    <w:rsid w:val="2F653683"/>
    <w:rsid w:val="38F56937"/>
    <w:rsid w:val="3A2537F5"/>
    <w:rsid w:val="3A4F3651"/>
    <w:rsid w:val="3BF07A34"/>
    <w:rsid w:val="3C282D42"/>
    <w:rsid w:val="3E3D1CAD"/>
    <w:rsid w:val="3E4544CA"/>
    <w:rsid w:val="3E4718A1"/>
    <w:rsid w:val="400A58D0"/>
    <w:rsid w:val="456F1B24"/>
    <w:rsid w:val="46366A57"/>
    <w:rsid w:val="46426E0E"/>
    <w:rsid w:val="466C2476"/>
    <w:rsid w:val="485D1638"/>
    <w:rsid w:val="486E4B1D"/>
    <w:rsid w:val="4B137A21"/>
    <w:rsid w:val="4BEE6752"/>
    <w:rsid w:val="4D3073CD"/>
    <w:rsid w:val="4E461E67"/>
    <w:rsid w:val="4FAE2B73"/>
    <w:rsid w:val="4FB903A5"/>
    <w:rsid w:val="51353E8B"/>
    <w:rsid w:val="51577C64"/>
    <w:rsid w:val="51CE1049"/>
    <w:rsid w:val="549B63B0"/>
    <w:rsid w:val="58A668B7"/>
    <w:rsid w:val="58DD1125"/>
    <w:rsid w:val="59AA1200"/>
    <w:rsid w:val="5B6A1371"/>
    <w:rsid w:val="5B8E18EA"/>
    <w:rsid w:val="5E6C23E5"/>
    <w:rsid w:val="608B0BD7"/>
    <w:rsid w:val="616964DC"/>
    <w:rsid w:val="61A57291"/>
    <w:rsid w:val="61FC4B9F"/>
    <w:rsid w:val="62CA43A2"/>
    <w:rsid w:val="647C19B7"/>
    <w:rsid w:val="682A1CDF"/>
    <w:rsid w:val="68F16143"/>
    <w:rsid w:val="6A3F0F53"/>
    <w:rsid w:val="6BDB1EF4"/>
    <w:rsid w:val="6BE45381"/>
    <w:rsid w:val="6CD7238D"/>
    <w:rsid w:val="710324DC"/>
    <w:rsid w:val="741813CF"/>
    <w:rsid w:val="778B00FF"/>
    <w:rsid w:val="781537A1"/>
    <w:rsid w:val="792D75FB"/>
    <w:rsid w:val="798C55BE"/>
    <w:rsid w:val="79E4444D"/>
    <w:rsid w:val="7B3B7510"/>
    <w:rsid w:val="7B967513"/>
    <w:rsid w:val="7E437696"/>
    <w:rsid w:val="7F196590"/>
    <w:rsid w:val="7F463936"/>
    <w:rsid w:val="7F721C79"/>
    <w:rsid w:val="7FBF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仿宋" w:hAnsi="仿宋_GB2312;仿宋" w:eastAsia="仿宋_GB2312;仿宋" w:cs="宋体;SimSun"/>
      <w:sz w:val="24"/>
      <w:lang w:val="zh-CN"/>
    </w:rPr>
  </w:style>
  <w:style w:type="paragraph" w:styleId="3">
    <w:name w:val="Body Text Indent"/>
    <w:basedOn w:val="1"/>
    <w:qFormat/>
    <w:uiPriority w:val="0"/>
    <w:pPr>
      <w:spacing w:after="120"/>
      <w:ind w:left="420" w:leftChars="200"/>
    </w:pPr>
  </w:style>
  <w:style w:type="paragraph" w:styleId="4">
    <w:name w:val="Body Text Indent 2"/>
    <w:basedOn w:val="1"/>
    <w:qFormat/>
    <w:uiPriority w:val="0"/>
    <w:pPr>
      <w:spacing w:after="120" w:line="480" w:lineRule="auto"/>
      <w:ind w:left="420" w:leftChars="200"/>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unhideWhenUsed/>
    <w:qFormat/>
    <w:uiPriority w:val="99"/>
    <w:pPr>
      <w:spacing w:after="120"/>
      <w:ind w:left="420" w:leftChars="200"/>
    </w:pPr>
    <w:rPr>
      <w:sz w:val="16"/>
      <w:szCs w:val="16"/>
    </w:rPr>
  </w:style>
  <w:style w:type="paragraph" w:styleId="8">
    <w:name w:val="Body Text First Indent 2"/>
    <w:basedOn w:val="3"/>
    <w:qFormat/>
    <w:uiPriority w:val="0"/>
    <w:pPr>
      <w:widowControl/>
      <w:spacing w:after="0"/>
      <w:ind w:left="450" w:leftChars="0" w:firstLine="420" w:firstLineChars="200"/>
      <w:jc w:val="left"/>
    </w:pPr>
    <w:rPr>
      <w:rFonts w:ascii="Calibri" w:hAnsi="Calibri"/>
      <w:kern w:val="0"/>
      <w:sz w:val="24"/>
      <w:szCs w:val="20"/>
    </w:rPr>
  </w:style>
  <w:style w:type="character" w:styleId="11">
    <w:name w:val="Hyperlink"/>
    <w:basedOn w:val="10"/>
    <w:semiHidden/>
    <w:unhideWhenUsed/>
    <w:qFormat/>
    <w:uiPriority w:val="99"/>
    <w:rPr>
      <w:color w:val="0000FF"/>
      <w:u w:val="single"/>
    </w:rPr>
  </w:style>
  <w:style w:type="character" w:customStyle="1" w:styleId="12">
    <w:name w:val="页眉 字符"/>
    <w:basedOn w:val="10"/>
    <w:link w:val="6"/>
    <w:semiHidden/>
    <w:qFormat/>
    <w:uiPriority w:val="99"/>
    <w:rPr>
      <w:sz w:val="18"/>
      <w:szCs w:val="18"/>
    </w:rPr>
  </w:style>
  <w:style w:type="character" w:customStyle="1" w:styleId="13">
    <w:name w:val="页脚 字符"/>
    <w:basedOn w:val="10"/>
    <w:link w:val="5"/>
    <w:semiHidden/>
    <w:qFormat/>
    <w:uiPriority w:val="99"/>
    <w:rPr>
      <w:sz w:val="18"/>
      <w:szCs w:val="18"/>
    </w:rPr>
  </w:style>
  <w:style w:type="paragraph" w:styleId="14">
    <w:name w:val="List Paragraph"/>
    <w:basedOn w:val="1"/>
    <w:autoRedefine/>
    <w:qFormat/>
    <w:uiPriority w:val="0"/>
    <w:pPr>
      <w:spacing w:line="360" w:lineRule="auto"/>
      <w:ind w:firstLine="420"/>
    </w:pPr>
    <w:rPr>
      <w:rFonts w:ascii="Calibri" w:hAnsi="Calibri" w:cs="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3608</Words>
  <Characters>3775</Characters>
  <Lines>5</Lines>
  <Paragraphs>1</Paragraphs>
  <TotalTime>94</TotalTime>
  <ScaleCrop>false</ScaleCrop>
  <LinksUpToDate>false</LinksUpToDate>
  <CharactersWithSpaces>4181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2019-12-09T02:23:00Z</dcterms:created>
  <dc:creator>admin</dc:creator>
  <cp:lastModifiedBy>冷</cp:lastModifiedBy>
  <cp:lastPrinted>2025-03-07T08:00:00Z</cp:lastPrinted>
  <dcterms:modified xsi:type="dcterms:W3CDTF">2025-06-03T09:32:27Z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723E23AC61134E2B8D68AD8735D2D094</vt:lpwstr>
  </property>
  <property fmtid="{D5CDD505-2E9C-101B-9397-08002B2CF9AE}" pid="4" name="KSOTemplateDocerSaveRecord">
    <vt:lpwstr>eyJoZGlkIjoiMWYzZTQ1M2Y3ZTE4MmQxNzlmZWI0NDRhNDkzMTIzOGEiLCJ1c2VySWQiOiI0NDI4ODYxODMifQ==</vt:lpwstr>
  </property>
</Properties>
</file>