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834DC">
      <w:pPr>
        <w:spacing w:line="360" w:lineRule="auto"/>
        <w:rPr>
          <w:rFonts w:ascii="黑体"/>
        </w:rPr>
      </w:pPr>
    </w:p>
    <w:p w14:paraId="21E54EF9">
      <w:pPr>
        <w:spacing w:before="92" w:line="360" w:lineRule="auto"/>
        <w:ind w:firstLine="4480" w:firstLineChars="1600"/>
        <w:rPr>
          <w:rFonts w:hint="default" w:ascii="黑体" w:eastAsia="宋体"/>
          <w:lang w:val="en-US" w:eastAsia="zh-CN"/>
        </w:rPr>
      </w:pPr>
      <w:r>
        <w:rPr>
          <w:rFonts w:ascii="宋体" w:hAnsi="宋体" w:eastAsia="宋体" w:cs="宋体"/>
          <w:sz w:val="28"/>
          <w:szCs w:val="28"/>
          <w14:textOutline w14:w="5092" w14:cap="flat" w14:cmpd="sng" w14:algn="ctr">
            <w14:solidFill>
              <w14:srgbClr w14:val="000000"/>
            </w14:solidFill>
            <w14:prstDash w14:val="solid"/>
            <w14:miter w14:val="0"/>
          </w14:textOutline>
        </w:rPr>
        <w:t>招标文件编号</w:t>
      </w:r>
      <w:r>
        <w:rPr>
          <w:rFonts w:ascii="宋体" w:hAnsi="宋体" w:eastAsia="宋体" w:cs="宋体"/>
          <w:sz w:val="28"/>
          <w:szCs w:val="28"/>
        </w:rPr>
        <w:t>：</w:t>
      </w:r>
      <w:r>
        <w:rPr>
          <w:rFonts w:hint="eastAsia" w:ascii="宋体" w:hAnsi="宋体" w:eastAsia="宋体" w:cs="宋体"/>
          <w:sz w:val="28"/>
          <w:szCs w:val="28"/>
          <w:highlight w:val="none"/>
          <w:lang w:val="en-US" w:eastAsia="zh-CN"/>
        </w:rPr>
        <w:t>HXZB2025042301</w:t>
      </w:r>
    </w:p>
    <w:p w14:paraId="0D12C71D">
      <w:pPr>
        <w:spacing w:line="360" w:lineRule="auto"/>
        <w:rPr>
          <w:rFonts w:ascii="黑体"/>
        </w:rPr>
      </w:pPr>
    </w:p>
    <w:p w14:paraId="182A12A9">
      <w:pPr>
        <w:spacing w:line="360" w:lineRule="auto"/>
        <w:rPr>
          <w:rFonts w:ascii="黑体"/>
        </w:rPr>
      </w:pPr>
    </w:p>
    <w:p w14:paraId="0F702D57">
      <w:pPr>
        <w:spacing w:line="360" w:lineRule="auto"/>
        <w:rPr>
          <w:rFonts w:ascii="黑体"/>
        </w:rPr>
      </w:pPr>
    </w:p>
    <w:p w14:paraId="7B8D5328">
      <w:pPr>
        <w:spacing w:line="360" w:lineRule="auto"/>
        <w:rPr>
          <w:rFonts w:ascii="黑体"/>
        </w:rPr>
      </w:pPr>
    </w:p>
    <w:p w14:paraId="6F813CF4">
      <w:pPr>
        <w:tabs>
          <w:tab w:val="left" w:pos="5882"/>
        </w:tabs>
        <w:spacing w:before="169" w:line="360" w:lineRule="auto"/>
        <w:jc w:val="center"/>
        <w:rPr>
          <w:rFonts w:ascii="宋体" w:hAnsi="宋体" w:eastAsia="宋体" w:cs="宋体"/>
          <w:sz w:val="52"/>
          <w:szCs w:val="52"/>
        </w:rPr>
      </w:pPr>
      <w:r>
        <w:rPr>
          <w:rFonts w:hint="eastAsia" w:ascii="黑体" w:hAnsi="黑体" w:eastAsia="黑体" w:cs="黑体"/>
          <w:sz w:val="52"/>
          <w:szCs w:val="52"/>
          <w:u w:val="single"/>
          <w:lang w:val="en-US" w:eastAsia="zh-CN"/>
        </w:rPr>
        <w:t>搅拌摩擦焊</w:t>
      </w:r>
      <w:r>
        <w:rPr>
          <w:rFonts w:ascii="宋体" w:hAnsi="宋体" w:eastAsia="宋体" w:cs="宋体"/>
          <w:sz w:val="52"/>
          <w:szCs w:val="52"/>
        </w:rPr>
        <w:t>采购项目</w:t>
      </w:r>
    </w:p>
    <w:p w14:paraId="26066504">
      <w:pPr>
        <w:spacing w:line="360" w:lineRule="auto"/>
        <w:rPr>
          <w:rFonts w:ascii="黑体"/>
        </w:rPr>
      </w:pPr>
    </w:p>
    <w:p w14:paraId="5AA7D89A">
      <w:pPr>
        <w:spacing w:line="360" w:lineRule="auto"/>
        <w:rPr>
          <w:rFonts w:ascii="黑体"/>
        </w:rPr>
      </w:pPr>
    </w:p>
    <w:p w14:paraId="370320FE">
      <w:pPr>
        <w:spacing w:line="360" w:lineRule="auto"/>
        <w:rPr>
          <w:rFonts w:ascii="黑体"/>
        </w:rPr>
      </w:pPr>
    </w:p>
    <w:p w14:paraId="1877FE78">
      <w:pPr>
        <w:spacing w:line="360" w:lineRule="auto"/>
        <w:rPr>
          <w:rFonts w:ascii="黑体"/>
        </w:rPr>
      </w:pPr>
    </w:p>
    <w:p w14:paraId="0EE4B876">
      <w:pPr>
        <w:spacing w:line="360" w:lineRule="auto"/>
        <w:rPr>
          <w:rFonts w:ascii="黑体"/>
        </w:rPr>
      </w:pPr>
    </w:p>
    <w:p w14:paraId="0B8D8315">
      <w:pPr>
        <w:spacing w:line="360" w:lineRule="auto"/>
        <w:rPr>
          <w:rFonts w:ascii="黑体"/>
        </w:rPr>
      </w:pPr>
    </w:p>
    <w:p w14:paraId="6528C7BB">
      <w:pPr>
        <w:spacing w:line="360" w:lineRule="auto"/>
        <w:rPr>
          <w:rFonts w:ascii="黑体"/>
        </w:rPr>
      </w:pPr>
    </w:p>
    <w:p w14:paraId="2EC90291">
      <w:pPr>
        <w:spacing w:before="274" w:line="360" w:lineRule="auto"/>
        <w:jc w:val="center"/>
        <w:outlineLvl w:val="0"/>
        <w:rPr>
          <w:rFonts w:ascii="宋体" w:hAnsi="宋体" w:eastAsia="宋体" w:cs="宋体"/>
          <w:sz w:val="84"/>
          <w:szCs w:val="84"/>
        </w:rPr>
      </w:pPr>
      <w:bookmarkStart w:id="0" w:name="_Toc7596"/>
      <w:bookmarkStart w:id="1" w:name="_Toc3319"/>
      <w:bookmarkStart w:id="2" w:name="_Toc4814"/>
      <w:r>
        <w:rPr>
          <w:rFonts w:ascii="宋体" w:hAnsi="宋体" w:eastAsia="宋体" w:cs="宋体"/>
          <w:sz w:val="84"/>
          <w:szCs w:val="84"/>
          <w14:textOutline w14:w="15240" w14:cap="flat" w14:cmpd="sng" w14:algn="ctr">
            <w14:solidFill>
              <w14:srgbClr w14:val="000000"/>
            </w14:solidFill>
            <w14:prstDash w14:val="solid"/>
            <w14:miter w14:val="0"/>
          </w14:textOutline>
        </w:rPr>
        <w:t>招标文件</w:t>
      </w:r>
      <w:bookmarkEnd w:id="0"/>
      <w:bookmarkEnd w:id="1"/>
      <w:bookmarkEnd w:id="2"/>
    </w:p>
    <w:p w14:paraId="74C330DF">
      <w:pPr>
        <w:spacing w:line="360" w:lineRule="auto"/>
        <w:rPr>
          <w:rFonts w:ascii="黑体"/>
        </w:rPr>
      </w:pPr>
    </w:p>
    <w:p w14:paraId="0CE64B6E">
      <w:pPr>
        <w:spacing w:line="360" w:lineRule="auto"/>
        <w:rPr>
          <w:rFonts w:ascii="黑体"/>
        </w:rPr>
      </w:pPr>
    </w:p>
    <w:p w14:paraId="21DC1332">
      <w:pPr>
        <w:spacing w:line="360" w:lineRule="auto"/>
        <w:rPr>
          <w:rFonts w:ascii="黑体"/>
        </w:rPr>
      </w:pPr>
    </w:p>
    <w:p w14:paraId="40D86D98">
      <w:pPr>
        <w:spacing w:line="360" w:lineRule="auto"/>
        <w:rPr>
          <w:rFonts w:ascii="黑体"/>
        </w:rPr>
      </w:pPr>
    </w:p>
    <w:p w14:paraId="556B3751">
      <w:pPr>
        <w:spacing w:before="104" w:line="360" w:lineRule="auto"/>
        <w:rPr>
          <w:rFonts w:ascii="仿宋" w:hAnsi="仿宋" w:eastAsia="仿宋" w:cs="仿宋"/>
          <w:sz w:val="32"/>
          <w:szCs w:val="32"/>
        </w:rPr>
      </w:pPr>
    </w:p>
    <w:p w14:paraId="17445995">
      <w:pPr>
        <w:spacing w:before="104" w:line="360" w:lineRule="auto"/>
        <w:jc w:val="center"/>
        <w:rPr>
          <w:rFonts w:ascii="仿宋" w:hAnsi="仿宋" w:eastAsia="仿宋" w:cs="仿宋"/>
          <w:sz w:val="32"/>
          <w:szCs w:val="32"/>
        </w:rPr>
      </w:pPr>
      <w:r>
        <w:rPr>
          <w:rFonts w:ascii="仿宋" w:hAnsi="仿宋" w:eastAsia="仿宋" w:cs="仿宋"/>
          <w:sz w:val="32"/>
          <w:szCs w:val="32"/>
        </w:rPr>
        <w:t>招标人：</w:t>
      </w:r>
      <w:r>
        <w:rPr>
          <w:rFonts w:hint="eastAsia" w:ascii="仿宋" w:hAnsi="仿宋" w:eastAsia="仿宋" w:cs="仿宋"/>
          <w:sz w:val="32"/>
          <w:szCs w:val="32"/>
        </w:rPr>
        <w:t>中国机械总院集团海西（福建）分院有限公司</w:t>
      </w:r>
    </w:p>
    <w:p w14:paraId="5E16A271">
      <w:pPr>
        <w:spacing w:line="360" w:lineRule="auto"/>
        <w:rPr>
          <w:rFonts w:ascii="黑体"/>
        </w:rPr>
      </w:pPr>
    </w:p>
    <w:p w14:paraId="3AFC4D42">
      <w:pPr>
        <w:spacing w:before="104" w:line="360" w:lineRule="auto"/>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ascii="仿宋" w:hAnsi="仿宋" w:eastAsia="仿宋" w:cs="仿宋"/>
          <w:sz w:val="32"/>
          <w:szCs w:val="32"/>
        </w:rPr>
        <w:t>年</w:t>
      </w:r>
      <w:r>
        <w:rPr>
          <w:rFonts w:hint="eastAsia" w:ascii="仿宋" w:hAnsi="仿宋" w:eastAsia="仿宋" w:cs="仿宋"/>
          <w:sz w:val="32"/>
          <w:szCs w:val="32"/>
          <w:lang w:val="en-US" w:eastAsia="zh-CN"/>
        </w:rPr>
        <w:t>04</w:t>
      </w:r>
      <w:r>
        <w:rPr>
          <w:rFonts w:ascii="仿宋" w:hAnsi="仿宋" w:eastAsia="仿宋" w:cs="仿宋"/>
          <w:sz w:val="32"/>
          <w:szCs w:val="32"/>
        </w:rPr>
        <w:t>月</w:t>
      </w:r>
      <w:r>
        <w:rPr>
          <w:rFonts w:hint="eastAsia" w:ascii="仿宋" w:hAnsi="仿宋" w:eastAsia="仿宋" w:cs="仿宋"/>
          <w:sz w:val="32"/>
          <w:szCs w:val="32"/>
          <w:lang w:val="en-US" w:eastAsia="zh-CN"/>
        </w:rPr>
        <w:t>23</w:t>
      </w:r>
      <w:r>
        <w:rPr>
          <w:rFonts w:ascii="仿宋" w:hAnsi="仿宋" w:eastAsia="仿宋" w:cs="仿宋"/>
          <w:sz w:val="32"/>
          <w:szCs w:val="32"/>
        </w:rPr>
        <w:t>日</w:t>
      </w:r>
    </w:p>
    <w:p w14:paraId="3E809FA9">
      <w:pPr>
        <w:spacing w:line="360" w:lineRule="auto"/>
        <w:rPr>
          <w:rFonts w:ascii="仿宋" w:hAnsi="仿宋" w:eastAsia="仿宋" w:cs="仿宋"/>
          <w:sz w:val="32"/>
          <w:szCs w:val="32"/>
        </w:rPr>
      </w:pPr>
      <w:r>
        <w:rPr>
          <w:rFonts w:ascii="仿宋" w:hAnsi="仿宋" w:eastAsia="仿宋" w:cs="仿宋"/>
          <w:sz w:val="32"/>
          <w:szCs w:val="32"/>
        </w:rPr>
        <w:br w:type="page"/>
      </w:r>
    </w:p>
    <w:p w14:paraId="066D6350">
      <w:pPr>
        <w:pStyle w:val="2"/>
        <w:spacing w:line="360" w:lineRule="auto"/>
      </w:pPr>
    </w:p>
    <w:p w14:paraId="640AE4C7">
      <w:pPr>
        <w:spacing w:line="360" w:lineRule="auto"/>
        <w:sectPr>
          <w:headerReference r:id="rId3" w:type="default"/>
          <w:pgSz w:w="11907" w:h="16839"/>
          <w:pgMar w:top="1432" w:right="1389" w:bottom="1201" w:left="1389" w:header="852" w:footer="1021" w:gutter="0"/>
          <w:cols w:space="720" w:num="1"/>
        </w:sectPr>
      </w:pPr>
    </w:p>
    <w:sdt>
      <w:sdtPr>
        <w:rPr>
          <w:rFonts w:ascii="宋体" w:hAnsi="宋体" w:eastAsia="宋体"/>
        </w:rPr>
        <w:id w:val="323009654"/>
        <w15:color w:val="DBDBDB"/>
        <w:docPartObj>
          <w:docPartGallery w:val="Table of Contents"/>
          <w:docPartUnique/>
        </w:docPartObj>
      </w:sdtPr>
      <w:sdtEndPr>
        <w:rPr>
          <w:rFonts w:ascii="宋体" w:hAnsi="宋体" w:eastAsia="宋体" w:cs="宋体"/>
          <w:sz w:val="56"/>
          <w:szCs w:val="180"/>
          <w14:textOutline w14:w="6527" w14:cap="flat" w14:cmpd="sng" w14:algn="ctr">
            <w14:solidFill>
              <w14:srgbClr w14:val="000000"/>
            </w14:solidFill>
            <w14:prstDash w14:val="solid"/>
            <w14:miter w14:val="0"/>
          </w14:textOutline>
        </w:rPr>
      </w:sdtEndPr>
      <w:sdtContent>
        <w:p w14:paraId="384161A1">
          <w:pPr>
            <w:spacing w:line="360" w:lineRule="auto"/>
            <w:jc w:val="center"/>
            <w:rPr>
              <w:b/>
              <w:bCs/>
              <w:sz w:val="48"/>
              <w:szCs w:val="48"/>
            </w:rPr>
          </w:pPr>
          <w:r>
            <w:rPr>
              <w:rFonts w:ascii="宋体" w:hAnsi="宋体" w:eastAsia="宋体"/>
              <w:b/>
              <w:bCs/>
              <w:sz w:val="48"/>
              <w:szCs w:val="48"/>
            </w:rPr>
            <w:t>目录</w:t>
          </w:r>
        </w:p>
        <w:p w14:paraId="08C13AEF">
          <w:pPr>
            <w:pStyle w:val="13"/>
            <w:tabs>
              <w:tab w:val="right" w:leader="dot" w:pos="9129"/>
            </w:tabs>
            <w:spacing w:line="360" w:lineRule="auto"/>
            <w:rPr>
              <w:sz w:val="36"/>
              <w:szCs w:val="36"/>
            </w:rPr>
          </w:pPr>
          <w:r>
            <w:rPr>
              <w:rFonts w:ascii="宋体" w:hAnsi="宋体" w:eastAsia="宋体" w:cs="宋体"/>
              <w:sz w:val="180"/>
              <w:szCs w:val="180"/>
              <w14:textOutline w14:w="6527" w14:cap="flat" w14:cmpd="sng" w14:algn="ctr">
                <w14:solidFill>
                  <w14:srgbClr w14:val="000000"/>
                </w14:solidFill>
                <w14:prstDash w14:val="solid"/>
                <w14:miter w14:val="0"/>
              </w14:textOutline>
            </w:rPr>
            <w:fldChar w:fldCharType="begin"/>
          </w:r>
          <w:r>
            <w:rPr>
              <w:rFonts w:ascii="宋体" w:hAnsi="宋体" w:eastAsia="宋体" w:cs="宋体"/>
              <w:sz w:val="180"/>
              <w:szCs w:val="180"/>
              <w14:textOutline w14:w="6527" w14:cap="flat" w14:cmpd="sng" w14:algn="ctr">
                <w14:solidFill>
                  <w14:srgbClr w14:val="000000"/>
                </w14:solidFill>
                <w14:prstDash w14:val="solid"/>
                <w14:miter w14:val="0"/>
              </w14:textOutline>
            </w:rPr>
            <w:instrText xml:space="preserve">TOC \o "1-1" \h \u </w:instrText>
          </w:r>
          <w:r>
            <w:rPr>
              <w:rFonts w:ascii="宋体" w:hAnsi="宋体" w:eastAsia="宋体" w:cs="宋体"/>
              <w:sz w:val="180"/>
              <w:szCs w:val="180"/>
              <w14:textOutline w14:w="6527" w14:cap="flat" w14:cmpd="sng" w14:algn="ctr">
                <w14:solidFill>
                  <w14:srgbClr w14:val="000000"/>
                </w14:solidFill>
                <w14:prstDash w14:val="solid"/>
                <w14:miter w14:val="0"/>
              </w14:textOutline>
            </w:rPr>
            <w:fldChar w:fldCharType="separate"/>
          </w:r>
        </w:p>
        <w:p w14:paraId="2BF6A405">
          <w:pPr>
            <w:spacing w:line="360" w:lineRule="auto"/>
            <w:jc w:val="center"/>
            <w:rPr>
              <w:rFonts w:ascii="宋体" w:hAnsi="宋体" w:eastAsia="宋体" w:cs="宋体"/>
              <w:sz w:val="36"/>
              <w:szCs w:val="180"/>
              <w14:textOutline w14:w="6527" w14:cap="flat" w14:cmpd="sng" w14:algn="ctr">
                <w14:solidFill>
                  <w14:srgbClr w14:val="000000"/>
                </w14:solidFill>
                <w14:prstDash w14:val="solid"/>
                <w14:miter w14:val="0"/>
              </w14:textOutline>
            </w:rPr>
          </w:pPr>
          <w:r>
            <w:rPr>
              <w:rFonts w:ascii="宋体" w:hAnsi="宋体" w:eastAsia="宋体" w:cs="宋体"/>
              <w:sz w:val="36"/>
              <w:szCs w:val="180"/>
              <w14:textOutline w14:w="6527" w14:cap="flat" w14:cmpd="sng" w14:algn="ctr">
                <w14:solidFill>
                  <w14:srgbClr w14:val="000000"/>
                </w14:solidFill>
                <w14:prstDash w14:val="solid"/>
                <w14:miter w14:val="0"/>
              </w14:textOutline>
            </w:rPr>
            <w:fldChar w:fldCharType="end"/>
          </w:r>
        </w:p>
        <w:sdt>
          <w:sdtPr>
            <w:rPr>
              <w:rFonts w:eastAsia="宋体"/>
            </w:rPr>
            <w:id w:val="147466991"/>
            <w15:color w:val="DBDBDB"/>
            <w:docPartObj>
              <w:docPartGallery w:val="Table of Contents"/>
              <w:docPartUnique/>
            </w:docPartObj>
          </w:sdtPr>
          <w:sdtEndPr>
            <w:rPr>
              <w:rFonts w:ascii="宋体" w:hAnsi="宋体" w:eastAsia="宋体" w:cs="宋体"/>
              <w:sz w:val="32"/>
              <w:szCs w:val="160"/>
              <w14:textOutline w14:w="6527" w14:cap="flat" w14:cmpd="sng" w14:algn="ctr">
                <w14:solidFill>
                  <w14:srgbClr w14:val="000000"/>
                </w14:solidFill>
                <w14:prstDash w14:val="solid"/>
                <w14:miter w14:val="0"/>
              </w14:textOutline>
            </w:rPr>
          </w:sdtEndPr>
          <w:sdtContent>
            <w:p w14:paraId="20364623">
              <w:pPr>
                <w:spacing w:line="360" w:lineRule="auto"/>
                <w:jc w:val="center"/>
                <w:rPr>
                  <w:sz w:val="48"/>
                  <w:szCs w:val="48"/>
                </w:rPr>
              </w:pPr>
            </w:p>
            <w:p w14:paraId="0712401F">
              <w:pPr>
                <w:pStyle w:val="13"/>
                <w:tabs>
                  <w:tab w:val="right" w:leader="dot" w:pos="9129"/>
                </w:tabs>
                <w:spacing w:line="36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fldChar w:fldCharType="begin"/>
              </w:r>
              <w:r>
                <w:instrText xml:space="preserve"> HYPERLINK \l "_Toc9866" </w:instrText>
              </w:r>
              <w:r>
                <w:fldChar w:fldCharType="separate"/>
              </w:r>
              <w:r>
                <w:rPr>
                  <w:sz w:val="32"/>
                  <w:szCs w:val="32"/>
                </w:rPr>
                <w:t>一、投标邀请书</w:t>
              </w:r>
              <w:r>
                <w:rPr>
                  <w:sz w:val="32"/>
                  <w:szCs w:val="32"/>
                </w:rPr>
                <w:tab/>
              </w:r>
              <w:r>
                <w:rPr>
                  <w:rFonts w:hint="eastAsia" w:eastAsia="宋体"/>
                  <w:sz w:val="32"/>
                  <w:szCs w:val="32"/>
                </w:rPr>
                <w:t>3</w:t>
              </w:r>
              <w:r>
                <w:rPr>
                  <w:rFonts w:hint="eastAsia" w:eastAsia="宋体"/>
                  <w:sz w:val="32"/>
                  <w:szCs w:val="32"/>
                </w:rPr>
                <w:fldChar w:fldCharType="end"/>
              </w:r>
            </w:p>
            <w:p w14:paraId="41F8DCAD">
              <w:pPr>
                <w:pStyle w:val="13"/>
                <w:tabs>
                  <w:tab w:val="right" w:leader="dot" w:pos="9129"/>
                </w:tabs>
                <w:spacing w:line="360" w:lineRule="auto"/>
                <w:rPr>
                  <w:sz w:val="32"/>
                  <w:szCs w:val="32"/>
                </w:rPr>
              </w:pPr>
              <w:r>
                <w:fldChar w:fldCharType="begin"/>
              </w:r>
              <w:r>
                <w:instrText xml:space="preserve"> HYPERLINK \l "_Toc23575" </w:instrText>
              </w:r>
              <w:r>
                <w:fldChar w:fldCharType="separate"/>
              </w:r>
              <w:r>
                <w:rPr>
                  <w:sz w:val="32"/>
                  <w:szCs w:val="32"/>
                </w:rPr>
                <w:t>附件：技术</w:t>
              </w:r>
              <w:r>
                <w:rPr>
                  <w:rFonts w:hint="eastAsia" w:ascii="宋体" w:hAnsi="宋体" w:eastAsia="宋体" w:cs="宋体"/>
                  <w:sz w:val="32"/>
                  <w:szCs w:val="32"/>
                </w:rPr>
                <w:t>要求</w:t>
              </w:r>
              <w:r>
                <w:rPr>
                  <w:sz w:val="32"/>
                  <w:szCs w:val="32"/>
                </w:rPr>
                <w:tab/>
              </w:r>
              <w:r>
                <w:rPr>
                  <w:rFonts w:hint="eastAsia" w:eastAsia="宋体"/>
                  <w:sz w:val="32"/>
                  <w:szCs w:val="32"/>
                </w:rPr>
                <w:t>5</w:t>
              </w:r>
              <w:r>
                <w:rPr>
                  <w:rFonts w:hint="eastAsia" w:eastAsia="宋体"/>
                  <w:sz w:val="32"/>
                  <w:szCs w:val="32"/>
                </w:rPr>
                <w:fldChar w:fldCharType="end"/>
              </w:r>
            </w:p>
            <w:p w14:paraId="346B2BE5">
              <w:pPr>
                <w:pStyle w:val="13"/>
                <w:tabs>
                  <w:tab w:val="right" w:leader="dot" w:pos="9129"/>
                </w:tabs>
                <w:spacing w:line="360" w:lineRule="auto"/>
                <w:rPr>
                  <w:sz w:val="32"/>
                  <w:szCs w:val="32"/>
                </w:rPr>
              </w:pPr>
              <w:r>
                <w:fldChar w:fldCharType="begin"/>
              </w:r>
              <w:r>
                <w:instrText xml:space="preserve"> HYPERLINK \l "_Toc14127" </w:instrText>
              </w:r>
              <w:r>
                <w:fldChar w:fldCharType="separate"/>
              </w:r>
              <w:r>
                <w:rPr>
                  <w:sz w:val="32"/>
                  <w:szCs w:val="32"/>
                </w:rPr>
                <w:t>附件：</w:t>
              </w:r>
              <w:r>
                <w:rPr>
                  <w:rFonts w:hint="eastAsia" w:ascii="宋体" w:hAnsi="宋体" w:eastAsia="宋体" w:cs="宋体"/>
                  <w:sz w:val="32"/>
                  <w:szCs w:val="32"/>
                </w:rPr>
                <w:t>商务</w:t>
              </w:r>
              <w:r>
                <w:rPr>
                  <w:sz w:val="32"/>
                  <w:szCs w:val="32"/>
                </w:rPr>
                <w:t>要求</w:t>
              </w:r>
              <w:r>
                <w:rPr>
                  <w:sz w:val="32"/>
                  <w:szCs w:val="32"/>
                </w:rPr>
                <w:tab/>
              </w:r>
              <w:r>
                <w:rPr>
                  <w:rFonts w:hint="eastAsia" w:eastAsia="宋体"/>
                  <w:sz w:val="32"/>
                  <w:szCs w:val="32"/>
                </w:rPr>
                <w:t>8</w:t>
              </w:r>
              <w:r>
                <w:rPr>
                  <w:rFonts w:hint="eastAsia" w:eastAsia="宋体"/>
                  <w:sz w:val="32"/>
                  <w:szCs w:val="32"/>
                </w:rPr>
                <w:fldChar w:fldCharType="end"/>
              </w:r>
            </w:p>
            <w:p w14:paraId="65332014">
              <w:pPr>
                <w:pStyle w:val="13"/>
                <w:tabs>
                  <w:tab w:val="right" w:leader="dot" w:pos="9129"/>
                </w:tabs>
                <w:spacing w:line="360" w:lineRule="auto"/>
                <w:rPr>
                  <w:rFonts w:eastAsia="宋体"/>
                  <w:sz w:val="32"/>
                  <w:szCs w:val="32"/>
                </w:rPr>
              </w:pPr>
              <w:r>
                <w:fldChar w:fldCharType="begin"/>
              </w:r>
              <w:r>
                <w:instrText xml:space="preserve"> HYPERLINK \l "_Toc28318" </w:instrText>
              </w:r>
              <w:r>
                <w:fldChar w:fldCharType="separate"/>
              </w:r>
              <w:r>
                <w:rPr>
                  <w:sz w:val="32"/>
                  <w:szCs w:val="32"/>
                </w:rPr>
                <w:t>二、投标人须知</w:t>
              </w:r>
              <w:r>
                <w:rPr>
                  <w:sz w:val="32"/>
                  <w:szCs w:val="32"/>
                </w:rPr>
                <w:tab/>
              </w:r>
              <w:r>
                <w:rPr>
                  <w:rFonts w:hint="eastAsia" w:eastAsia="宋体"/>
                  <w:sz w:val="32"/>
                  <w:szCs w:val="32"/>
                </w:rPr>
                <w:t>1</w:t>
              </w:r>
              <w:r>
                <w:rPr>
                  <w:rFonts w:hint="eastAsia" w:eastAsia="宋体"/>
                  <w:sz w:val="32"/>
                  <w:szCs w:val="32"/>
                </w:rPr>
                <w:fldChar w:fldCharType="end"/>
              </w:r>
              <w:r>
                <w:rPr>
                  <w:rFonts w:hint="eastAsia" w:eastAsia="宋体"/>
                  <w:sz w:val="32"/>
                  <w:szCs w:val="32"/>
                </w:rPr>
                <w:t>0</w:t>
              </w:r>
            </w:p>
            <w:p w14:paraId="4AA9C1DC">
              <w:pPr>
                <w:widowControl w:val="0"/>
                <w:kinsoku/>
                <w:autoSpaceDE/>
                <w:autoSpaceDN/>
                <w:adjustRightInd/>
                <w:snapToGrid/>
                <w:spacing w:line="360" w:lineRule="auto"/>
                <w:jc w:val="both"/>
                <w:textAlignment w:val="auto"/>
                <w:rPr>
                  <w:rFonts w:hint="eastAsia" w:eastAsia="宋体"/>
                  <w:sz w:val="32"/>
                  <w:szCs w:val="32"/>
                  <w:lang w:eastAsia="zh-CN"/>
                </w:rPr>
              </w:pPr>
              <w:r>
                <w:rPr>
                  <w:sz w:val="32"/>
                  <w:szCs w:val="32"/>
                </w:rPr>
                <w:fldChar w:fldCharType="end"/>
              </w:r>
              <w:r>
                <w:rPr>
                  <w:rFonts w:hint="eastAsia"/>
                  <w:sz w:val="32"/>
                  <w:szCs w:val="32"/>
                </w:rPr>
                <w:t>三、设备综合评标评分标准.........................................................1</w:t>
              </w:r>
              <w:r>
                <w:rPr>
                  <w:rFonts w:hint="eastAsia" w:eastAsia="宋体"/>
                  <w:sz w:val="32"/>
                  <w:szCs w:val="32"/>
                  <w:lang w:val="en-US" w:eastAsia="zh-CN"/>
                </w:rPr>
                <w:t>3</w:t>
              </w:r>
            </w:p>
            <w:p w14:paraId="69D4EFE6">
              <w:pPr>
                <w:pStyle w:val="2"/>
                <w:ind w:left="0" w:leftChars="0" w:firstLine="0" w:firstLineChars="0"/>
                <w:rPr>
                  <w:rFonts w:hint="default" w:ascii="Arial" w:hAnsi="Arial" w:eastAsia="宋体" w:cs="Arial"/>
                  <w:snapToGrid w:val="0"/>
                  <w:color w:val="000000"/>
                  <w:sz w:val="32"/>
                  <w:szCs w:val="32"/>
                  <w:lang w:val="en-US" w:eastAsia="zh-CN" w:bidi="ar-SA"/>
                </w:rPr>
              </w:pPr>
              <w:r>
                <w:rPr>
                  <w:rFonts w:hint="eastAsia" w:eastAsia="宋体"/>
                  <w:sz w:val="32"/>
                  <w:szCs w:val="32"/>
                  <w:lang w:val="en-US" w:eastAsia="zh-CN"/>
                </w:rPr>
                <w:t>四、</w:t>
              </w:r>
              <w:r>
                <w:rPr>
                  <w:rFonts w:hint="eastAsia" w:ascii="Arial" w:hAnsi="Arial" w:eastAsia="Arial" w:cs="Arial"/>
                  <w:snapToGrid w:val="0"/>
                  <w:color w:val="000000"/>
                  <w:sz w:val="32"/>
                  <w:szCs w:val="32"/>
                  <w:lang w:val="en-US" w:eastAsia="zh-CN" w:bidi="ar-SA"/>
                </w:rPr>
                <w:t>合同（参考文本）</w:t>
              </w:r>
              <w:r>
                <w:rPr>
                  <w:rFonts w:hint="eastAsia"/>
                  <w:sz w:val="32"/>
                  <w:szCs w:val="32"/>
                </w:rPr>
                <w:t>...............................................................</w:t>
              </w:r>
              <w:r>
                <w:rPr>
                  <w:rFonts w:hint="eastAsia" w:eastAsia="宋体"/>
                  <w:sz w:val="32"/>
                  <w:szCs w:val="32"/>
                  <w:lang w:val="en-US" w:eastAsia="zh-CN"/>
                </w:rPr>
                <w:t>15</w:t>
              </w:r>
            </w:p>
            <w:p w14:paraId="3291A36F">
              <w:pPr>
                <w:pStyle w:val="13"/>
                <w:tabs>
                  <w:tab w:val="right" w:leader="dot" w:pos="9129"/>
                </w:tabs>
                <w:spacing w:line="360" w:lineRule="auto"/>
                <w:rPr>
                  <w:rFonts w:ascii="宋体" w:hAnsi="宋体" w:eastAsia="宋体" w:cs="宋体"/>
                  <w:sz w:val="32"/>
                  <w:szCs w:val="160"/>
                  <w14:textOutline w14:w="6527" w14:cap="flat" w14:cmpd="sng" w14:algn="ctr">
                    <w14:solidFill>
                      <w14:srgbClr w14:val="000000"/>
                    </w14:solidFill>
                    <w14:prstDash w14:val="solid"/>
                    <w14:miter w14:val="0"/>
                  </w14:textOutline>
                </w:rPr>
              </w:pPr>
            </w:p>
          </w:sdtContent>
        </w:sdt>
        <w:p w14:paraId="4E7430FD">
          <w:pPr>
            <w:spacing w:before="153" w:line="360" w:lineRule="auto"/>
            <w:rPr>
              <w:rFonts w:ascii="宋体" w:hAnsi="宋体" w:eastAsia="宋体" w:cs="宋体"/>
              <w:sz w:val="180"/>
              <w:szCs w:val="180"/>
              <w14:textOutline w14:w="6527" w14:cap="flat" w14:cmpd="sng" w14:algn="ctr">
                <w14:solidFill>
                  <w14:srgbClr w14:val="000000"/>
                </w14:solidFill>
                <w14:prstDash w14:val="solid"/>
                <w14:miter w14:val="0"/>
              </w14:textOutline>
            </w:rPr>
            <w:sectPr>
              <w:headerReference r:id="rId4" w:type="default"/>
              <w:footerReference r:id="rId5" w:type="default"/>
              <w:type w:val="continuous"/>
              <w:pgSz w:w="11907" w:h="16839"/>
              <w:pgMar w:top="1432" w:right="1389" w:bottom="1201" w:left="1389" w:header="567" w:footer="1021" w:gutter="0"/>
              <w:cols w:equalWidth="0" w:num="1">
                <w:col w:w="9128"/>
              </w:cols>
            </w:sectPr>
          </w:pPr>
        </w:p>
      </w:sdtContent>
    </w:sdt>
    <w:p w14:paraId="521A7D8D">
      <w:pPr>
        <w:spacing w:before="240" w:beforeLines="100" w:line="360" w:lineRule="auto"/>
        <w:jc w:val="both"/>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bookmarkStart w:id="3" w:name="_Toc27877"/>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一、投标邀请书</w:t>
      </w:r>
      <w:bookmarkEnd w:id="3"/>
    </w:p>
    <w:p w14:paraId="782D0605">
      <w:pPr>
        <w:pStyle w:val="2"/>
        <w:spacing w:line="360" w:lineRule="auto"/>
        <w:rPr>
          <w:rFonts w:hint="eastAsia" w:eastAsia="宋体"/>
          <w:lang w:eastAsia="zh-CN"/>
        </w:rPr>
      </w:pPr>
      <w:r>
        <w:rPr>
          <w:rFonts w:hint="eastAsia" w:ascii="宋体" w:hAnsi="宋体" w:eastAsia="宋体" w:cs="宋体"/>
          <w:spacing w:val="0"/>
          <w:sz w:val="24"/>
          <w:szCs w:val="24"/>
        </w:rPr>
        <w:t> 招标人</w:t>
      </w:r>
      <w:r>
        <w:rPr>
          <w:rFonts w:hint="eastAsia" w:ascii="宋体" w:hAnsi="宋体" w:eastAsia="宋体" w:cs="宋体"/>
          <w:spacing w:val="0"/>
          <w:sz w:val="24"/>
          <w:szCs w:val="24"/>
          <w:u w:val="single"/>
          <w:lang w:val="en-US" w:eastAsia="zh-CN"/>
        </w:rPr>
        <w:t>中国机械总院集团海西（福建）分院有限公司</w:t>
      </w:r>
      <w:r>
        <w:rPr>
          <w:rFonts w:hint="eastAsia" w:ascii="宋体" w:hAnsi="宋体" w:eastAsia="宋体" w:cs="宋体"/>
          <w:spacing w:val="0"/>
          <w:sz w:val="24"/>
          <w:szCs w:val="24"/>
        </w:rPr>
        <w:t>已根据采购相关法律法规，经相应程序确定采用</w:t>
      </w:r>
      <w:r>
        <w:rPr>
          <w:rFonts w:hint="eastAsia" w:ascii="宋体" w:hAnsi="宋体" w:eastAsia="宋体" w:cs="宋体"/>
          <w:spacing w:val="0"/>
          <w:sz w:val="24"/>
          <w:szCs w:val="24"/>
          <w:u w:val="single"/>
        </w:rPr>
        <w:t> </w:t>
      </w:r>
      <w:r>
        <w:rPr>
          <w:rFonts w:hint="eastAsia" w:ascii="宋体" w:hAnsi="宋体" w:eastAsia="宋体" w:cs="宋体"/>
          <w:spacing w:val="0"/>
          <w:sz w:val="24"/>
          <w:szCs w:val="24"/>
          <w:u w:val="single"/>
          <w:lang w:val="en-US" w:eastAsia="zh-CN"/>
        </w:rPr>
        <w:t>邀请招标的</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方式组织</w:t>
      </w:r>
      <w:r>
        <w:rPr>
          <w:rFonts w:hint="eastAsia" w:ascii="宋体" w:hAnsi="宋体" w:eastAsia="宋体" w:cs="宋体"/>
          <w:spacing w:val="0"/>
          <w:sz w:val="24"/>
          <w:szCs w:val="24"/>
          <w:u w:val="single" w:color="auto"/>
          <w:lang w:val="en-US" w:eastAsia="zh-CN"/>
        </w:rPr>
        <w:t>搅拌摩擦焊采购</w:t>
      </w:r>
      <w:r>
        <w:rPr>
          <w:rFonts w:hint="eastAsia" w:ascii="宋体" w:hAnsi="宋体" w:eastAsia="宋体" w:cs="宋体"/>
          <w:spacing w:val="0"/>
          <w:sz w:val="24"/>
          <w:szCs w:val="24"/>
        </w:rPr>
        <w:t>项目，现欢迎合格的供应商前来参加</w:t>
      </w:r>
      <w:r>
        <w:rPr>
          <w:rFonts w:hint="eastAsia" w:ascii="宋体" w:hAnsi="宋体" w:eastAsia="宋体" w:cs="宋体"/>
          <w:spacing w:val="0"/>
          <w:sz w:val="24"/>
          <w:szCs w:val="24"/>
          <w:lang w:eastAsia="zh-CN"/>
        </w:rPr>
        <w:t>。</w:t>
      </w:r>
    </w:p>
    <w:p w14:paraId="7B4D1D90">
      <w:pPr>
        <w:spacing w:before="161" w:line="360" w:lineRule="auto"/>
        <w:ind w:firstLine="480" w:firstLineChars="200"/>
        <w:rPr>
          <w:rFonts w:ascii="宋体" w:hAnsi="宋体" w:eastAsia="宋体" w:cs="宋体"/>
          <w:sz w:val="24"/>
          <w:szCs w:val="24"/>
        </w:rPr>
      </w:pPr>
      <w:r>
        <w:rPr>
          <w:rFonts w:hint="eastAsia" w:ascii="宋体" w:hAnsi="宋体" w:eastAsia="宋体" w:cs="宋体"/>
          <w:sz w:val="24"/>
          <w:szCs w:val="24"/>
        </w:rPr>
        <w:t>1、招标内容、数量及型号规格（见下表）</w:t>
      </w:r>
    </w:p>
    <w:tbl>
      <w:tblPr>
        <w:tblStyle w:val="18"/>
        <w:tblW w:w="93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4"/>
        <w:gridCol w:w="3740"/>
        <w:gridCol w:w="1225"/>
        <w:gridCol w:w="808"/>
        <w:gridCol w:w="1412"/>
        <w:gridCol w:w="1107"/>
      </w:tblGrid>
      <w:tr w14:paraId="1706C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57A87CEC">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序号</w:t>
            </w:r>
          </w:p>
        </w:tc>
        <w:tc>
          <w:tcPr>
            <w:tcW w:w="3740" w:type="dxa"/>
            <w:tcBorders>
              <w:top w:val="single" w:color="auto" w:sz="4" w:space="0"/>
              <w:left w:val="single" w:color="auto" w:sz="4" w:space="0"/>
              <w:bottom w:val="single" w:color="auto" w:sz="4" w:space="0"/>
              <w:right w:val="single" w:color="auto" w:sz="4" w:space="0"/>
            </w:tcBorders>
            <w:vAlign w:val="center"/>
          </w:tcPr>
          <w:p w14:paraId="3CBEAAB8">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设备</w:t>
            </w:r>
            <w:r>
              <w:rPr>
                <w:rFonts w:hint="eastAsia" w:ascii="宋体" w:hAnsi="宋体" w:eastAsia="宋体" w:cs="宋体"/>
                <w:sz w:val="24"/>
                <w:szCs w:val="24"/>
                <w:highlight w:val="none"/>
              </w:rPr>
              <w:t>名称</w:t>
            </w:r>
          </w:p>
        </w:tc>
        <w:tc>
          <w:tcPr>
            <w:tcW w:w="1225" w:type="dxa"/>
            <w:tcBorders>
              <w:top w:val="single" w:color="auto" w:sz="4" w:space="0"/>
              <w:left w:val="single" w:color="auto" w:sz="4" w:space="0"/>
              <w:bottom w:val="single" w:color="auto" w:sz="4" w:space="0"/>
              <w:right w:val="single" w:color="auto" w:sz="4" w:space="0"/>
            </w:tcBorders>
            <w:vAlign w:val="center"/>
          </w:tcPr>
          <w:p w14:paraId="7A34E911">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数量</w:t>
            </w:r>
          </w:p>
        </w:tc>
        <w:tc>
          <w:tcPr>
            <w:tcW w:w="808" w:type="dxa"/>
            <w:tcBorders>
              <w:top w:val="single" w:color="auto" w:sz="4" w:space="0"/>
              <w:left w:val="single" w:color="auto" w:sz="4" w:space="0"/>
              <w:bottom w:val="single" w:color="auto" w:sz="4" w:space="0"/>
              <w:right w:val="single" w:color="auto" w:sz="4" w:space="0"/>
            </w:tcBorders>
            <w:vAlign w:val="center"/>
          </w:tcPr>
          <w:p w14:paraId="2910A6DF">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单位</w:t>
            </w:r>
          </w:p>
        </w:tc>
        <w:tc>
          <w:tcPr>
            <w:tcW w:w="1412" w:type="dxa"/>
            <w:tcBorders>
              <w:top w:val="single" w:color="auto" w:sz="4" w:space="0"/>
              <w:left w:val="single" w:color="auto" w:sz="4" w:space="0"/>
              <w:bottom w:val="single" w:color="auto" w:sz="4" w:space="0"/>
              <w:right w:val="single" w:color="auto" w:sz="4" w:space="0"/>
            </w:tcBorders>
            <w:vAlign w:val="center"/>
          </w:tcPr>
          <w:p w14:paraId="5193DB32">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交货期</w:t>
            </w:r>
          </w:p>
        </w:tc>
        <w:tc>
          <w:tcPr>
            <w:tcW w:w="1107" w:type="dxa"/>
            <w:tcBorders>
              <w:top w:val="single" w:color="auto" w:sz="4" w:space="0"/>
              <w:left w:val="single" w:color="auto" w:sz="4" w:space="0"/>
              <w:bottom w:val="single" w:color="auto" w:sz="4" w:space="0"/>
              <w:right w:val="single" w:color="auto" w:sz="4" w:space="0"/>
            </w:tcBorders>
            <w:vAlign w:val="center"/>
          </w:tcPr>
          <w:p w14:paraId="50C3F593">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质量及其他要求</w:t>
            </w:r>
          </w:p>
        </w:tc>
      </w:tr>
      <w:tr w14:paraId="19260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1D973F25">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3740" w:type="dxa"/>
            <w:tcBorders>
              <w:top w:val="single" w:color="auto" w:sz="4" w:space="0"/>
              <w:left w:val="single" w:color="auto" w:sz="4" w:space="0"/>
              <w:bottom w:val="single" w:color="auto" w:sz="4" w:space="0"/>
              <w:right w:val="single" w:color="auto" w:sz="4" w:space="0"/>
            </w:tcBorders>
            <w:vAlign w:val="center"/>
          </w:tcPr>
          <w:p w14:paraId="2AE03406">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搅拌摩擦焊</w:t>
            </w:r>
          </w:p>
        </w:tc>
        <w:tc>
          <w:tcPr>
            <w:tcW w:w="1225" w:type="dxa"/>
            <w:tcBorders>
              <w:top w:val="single" w:color="auto" w:sz="4" w:space="0"/>
              <w:left w:val="single" w:color="auto" w:sz="4" w:space="0"/>
              <w:bottom w:val="single" w:color="auto" w:sz="4" w:space="0"/>
              <w:right w:val="single" w:color="auto" w:sz="4" w:space="0"/>
            </w:tcBorders>
            <w:vAlign w:val="center"/>
          </w:tcPr>
          <w:p w14:paraId="64554425">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808" w:type="dxa"/>
            <w:tcBorders>
              <w:top w:val="single" w:color="auto" w:sz="4" w:space="0"/>
              <w:left w:val="single" w:color="auto" w:sz="4" w:space="0"/>
              <w:bottom w:val="single" w:color="auto" w:sz="4" w:space="0"/>
              <w:right w:val="single" w:color="auto" w:sz="4" w:space="0"/>
            </w:tcBorders>
            <w:vAlign w:val="center"/>
          </w:tcPr>
          <w:p w14:paraId="3D93514E">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台</w:t>
            </w:r>
          </w:p>
        </w:tc>
        <w:tc>
          <w:tcPr>
            <w:tcW w:w="1412" w:type="dxa"/>
            <w:tcBorders>
              <w:top w:val="single" w:color="auto" w:sz="4" w:space="0"/>
              <w:left w:val="single" w:color="auto" w:sz="4" w:space="0"/>
              <w:bottom w:val="single" w:color="auto" w:sz="4" w:space="0"/>
              <w:right w:val="single" w:color="auto" w:sz="4" w:space="0"/>
            </w:tcBorders>
            <w:vAlign w:val="center"/>
          </w:tcPr>
          <w:p w14:paraId="7FA9E467">
            <w:pPr>
              <w:spacing w:line="360" w:lineRule="auto"/>
              <w:jc w:val="center"/>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75天</w:t>
            </w:r>
          </w:p>
        </w:tc>
        <w:tc>
          <w:tcPr>
            <w:tcW w:w="1107" w:type="dxa"/>
            <w:tcBorders>
              <w:top w:val="single" w:color="auto" w:sz="4" w:space="0"/>
              <w:left w:val="single" w:color="auto" w:sz="4" w:space="0"/>
              <w:bottom w:val="single" w:color="auto" w:sz="4" w:space="0"/>
              <w:right w:val="single" w:color="auto" w:sz="4" w:space="0"/>
            </w:tcBorders>
            <w:vAlign w:val="center"/>
          </w:tcPr>
          <w:p w14:paraId="53107744">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详见附件</w:t>
            </w:r>
          </w:p>
        </w:tc>
      </w:tr>
    </w:tbl>
    <w:p w14:paraId="2208FD2F">
      <w:pPr>
        <w:pStyle w:val="2"/>
        <w:rPr>
          <w:rFonts w:ascii="宋体" w:hAnsi="宋体" w:eastAsia="宋体" w:cs="宋体"/>
          <w:sz w:val="24"/>
          <w:szCs w:val="24"/>
          <w:highlight w:val="none"/>
        </w:rPr>
      </w:pPr>
      <w:r>
        <w:rPr>
          <w:rFonts w:hint="eastAsia" w:ascii="宋体" w:hAnsi="宋体" w:eastAsia="宋体" w:cs="宋体"/>
          <w:snapToGrid w:val="0"/>
          <w:color w:val="000000"/>
          <w:sz w:val="24"/>
          <w:szCs w:val="24"/>
          <w:highlight w:val="none"/>
          <w:lang w:val="en-US" w:eastAsia="zh-CN" w:bidi="ar-SA"/>
        </w:rPr>
        <w:t>(具体相关信息如技术参数、规格、质量标准、包装、运输费等要求请与我单位相关人员联系，联系人:邓晓清  联系电话:13950966034)</w:t>
      </w:r>
    </w:p>
    <w:p w14:paraId="1498D03E">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2、交货地点：中</w:t>
      </w:r>
      <w:r>
        <w:rPr>
          <w:rFonts w:hint="eastAsia" w:ascii="宋体" w:hAnsi="宋体" w:eastAsia="宋体" w:cs="宋体"/>
          <w:sz w:val="24"/>
          <w:szCs w:val="24"/>
          <w:highlight w:val="none"/>
        </w:rPr>
        <w:t>国机械总院集团海西（福建）分院有限公司指定地点。</w:t>
      </w:r>
    </w:p>
    <w:p w14:paraId="02B5A83B">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3、投标截止时间：202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04</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29日</w:t>
      </w:r>
      <w:r>
        <w:rPr>
          <w:rFonts w:hint="eastAsia" w:ascii="宋体" w:hAnsi="宋体" w:eastAsia="宋体" w:cs="宋体"/>
          <w:sz w:val="24"/>
          <w:szCs w:val="24"/>
          <w:highlight w:val="none"/>
        </w:rPr>
        <w:t>。</w:t>
      </w:r>
    </w:p>
    <w:p w14:paraId="6A9E30FF">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4、投标文件的递交：拟参加本次投标的单位请于投标截止时间之前，将密封并加盖公章的文件袋，用特快专递方式邮寄到我单位（投标文件正本一份，副本四份），原则上不接受当面递送。我们将在投标截止时间后，组织开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开标时间</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04</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29日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开标地点：海西分院会议室。</w:t>
      </w:r>
    </w:p>
    <w:p w14:paraId="39EDF670">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5、相关要求：</w:t>
      </w:r>
    </w:p>
    <w:p w14:paraId="1E1877CA">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报价单需按照我公司提供的样表填写，特殊情况可稍作调整，内容必须填写完整、真实和准确。除投标报价表外，不得对文件格式和内容进行修改，如发现投标文件未按我公司提供的招标文件格式填写，将视为废标。</w:t>
      </w:r>
    </w:p>
    <w:p w14:paraId="74F84861">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密封文件袋上必须标注项目名称和投标单位名称,并注明“正式开标前，不得开启”字样。</w:t>
      </w:r>
    </w:p>
    <w:p w14:paraId="5CD01CA9">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投标人投标时应提供加盖单位公章的项目技术方案、供货业绩及营业执照副本、资质证书、安全生产许可证等证书复印件。</w:t>
      </w:r>
    </w:p>
    <w:p w14:paraId="66658065">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6、凡对本次招标的有关事项需要咨询或有异议时，请在202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04</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29日</w:t>
      </w:r>
      <w:r>
        <w:rPr>
          <w:rFonts w:hint="eastAsia" w:ascii="宋体" w:hAnsi="宋体" w:eastAsia="宋体" w:cs="宋体"/>
          <w:sz w:val="24"/>
          <w:szCs w:val="24"/>
          <w:highlight w:val="none"/>
        </w:rPr>
        <w:t>前与相关负责人联系。关于评标结果，我们将会在评标结束之后第一时间告知。</w:t>
      </w:r>
    </w:p>
    <w:p w14:paraId="38943C49">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7、联系方式：</w:t>
      </w:r>
    </w:p>
    <w:p w14:paraId="4397687F">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招标人：中国机械总院集团海西（福建）分院有限公司</w:t>
      </w:r>
    </w:p>
    <w:p w14:paraId="2DA56271">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李浩东</w:t>
      </w:r>
    </w:p>
    <w:p w14:paraId="48631A7D">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18707194032</w:t>
      </w:r>
    </w:p>
    <w:p w14:paraId="704CF625">
      <w:pPr>
        <w:tabs>
          <w:tab w:val="left" w:pos="1446"/>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纪检监督电话：0598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5053289</w:t>
      </w:r>
    </w:p>
    <w:p w14:paraId="2EE26BB4">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地址：福建省三明市沙县区金沙园开发区创新东路413号</w:t>
      </w:r>
    </w:p>
    <w:p w14:paraId="4903E94E">
      <w:pPr>
        <w:pStyle w:val="2"/>
        <w:spacing w:line="360" w:lineRule="auto"/>
        <w:ind w:firstLine="480"/>
        <w:rPr>
          <w:sz w:val="24"/>
          <w:szCs w:val="24"/>
          <w:highlight w:val="none"/>
        </w:rPr>
      </w:pPr>
    </w:p>
    <w:p w14:paraId="6F19CD8B">
      <w:pPr>
        <w:widowControl w:val="0"/>
        <w:kinsoku/>
        <w:adjustRightInd/>
        <w:snapToGrid/>
        <w:spacing w:line="360" w:lineRule="auto"/>
        <w:ind w:firstLine="468" w:firstLineChars="200"/>
        <w:textAlignment w:val="auto"/>
        <w:rPr>
          <w:rFonts w:eastAsia="宋体"/>
          <w:spacing w:val="-3"/>
          <w:sz w:val="24"/>
          <w:szCs w:val="24"/>
        </w:rPr>
      </w:pPr>
      <w:r>
        <w:rPr>
          <w:spacing w:val="-3"/>
          <w:sz w:val="24"/>
          <w:szCs w:val="24"/>
        </w:rPr>
        <w:t>附件：</w:t>
      </w:r>
      <w:r>
        <w:rPr>
          <w:rFonts w:hint="eastAsia" w:eastAsia="宋体"/>
          <w:spacing w:val="-3"/>
          <w:sz w:val="24"/>
          <w:szCs w:val="24"/>
        </w:rPr>
        <w:t>《</w:t>
      </w:r>
      <w:r>
        <w:rPr>
          <w:spacing w:val="-3"/>
          <w:sz w:val="24"/>
          <w:szCs w:val="24"/>
        </w:rPr>
        <w:t>技术</w:t>
      </w:r>
      <w:r>
        <w:rPr>
          <w:rFonts w:hint="eastAsia" w:eastAsia="宋体"/>
          <w:spacing w:val="-3"/>
          <w:sz w:val="24"/>
          <w:szCs w:val="24"/>
          <w:lang w:val="en-US" w:eastAsia="zh-CN"/>
        </w:rPr>
        <w:t>要求</w:t>
      </w:r>
      <w:r>
        <w:rPr>
          <w:rFonts w:hint="eastAsia" w:eastAsia="宋体"/>
          <w:spacing w:val="-3"/>
          <w:sz w:val="24"/>
          <w:szCs w:val="24"/>
        </w:rPr>
        <w:t>》</w:t>
      </w:r>
    </w:p>
    <w:p w14:paraId="14E0962A">
      <w:pPr>
        <w:pStyle w:val="2"/>
        <w:spacing w:line="360" w:lineRule="auto"/>
        <w:ind w:firstLine="1170" w:firstLineChars="500"/>
        <w:rPr>
          <w:rFonts w:eastAsia="宋体"/>
        </w:rPr>
      </w:pPr>
      <w:r>
        <w:rPr>
          <w:rFonts w:hint="eastAsia" w:eastAsia="宋体"/>
          <w:spacing w:val="-3"/>
          <w:sz w:val="24"/>
          <w:szCs w:val="24"/>
        </w:rPr>
        <w:t>《</w:t>
      </w:r>
      <w:r>
        <w:rPr>
          <w:rFonts w:hint="eastAsia" w:eastAsia="宋体"/>
          <w:spacing w:val="-3"/>
          <w:sz w:val="24"/>
          <w:szCs w:val="24"/>
          <w:lang w:val="en-US" w:eastAsia="zh-CN"/>
        </w:rPr>
        <w:t>商务</w:t>
      </w:r>
      <w:r>
        <w:rPr>
          <w:rFonts w:hint="eastAsia" w:eastAsia="宋体"/>
          <w:spacing w:val="-3"/>
          <w:sz w:val="24"/>
          <w:szCs w:val="24"/>
        </w:rPr>
        <w:t>要求》</w:t>
      </w:r>
    </w:p>
    <w:p w14:paraId="782BA71A">
      <w:pPr>
        <w:tabs>
          <w:tab w:val="left" w:pos="1446"/>
        </w:tabs>
        <w:spacing w:line="360" w:lineRule="auto"/>
        <w:ind w:left="112" w:right="26" w:firstLine="490"/>
        <w:jc w:val="right"/>
        <w:rPr>
          <w:rFonts w:ascii="宋体" w:hAnsi="宋体" w:eastAsia="宋体" w:cs="宋体"/>
          <w:sz w:val="24"/>
          <w:szCs w:val="24"/>
        </w:rPr>
      </w:pPr>
    </w:p>
    <w:p w14:paraId="6C375753">
      <w:pPr>
        <w:pStyle w:val="2"/>
        <w:rPr>
          <w:rFonts w:ascii="宋体" w:hAnsi="宋体" w:eastAsia="宋体" w:cs="宋体"/>
          <w:sz w:val="24"/>
          <w:szCs w:val="24"/>
        </w:rPr>
      </w:pPr>
    </w:p>
    <w:p w14:paraId="61735A49">
      <w:pPr>
        <w:pStyle w:val="2"/>
        <w:rPr>
          <w:rFonts w:ascii="宋体" w:hAnsi="宋体" w:eastAsia="宋体" w:cs="宋体"/>
          <w:sz w:val="24"/>
          <w:szCs w:val="24"/>
        </w:rPr>
      </w:pPr>
    </w:p>
    <w:p w14:paraId="0E4FED00">
      <w:pPr>
        <w:tabs>
          <w:tab w:val="left" w:pos="1446"/>
        </w:tabs>
        <w:spacing w:line="360" w:lineRule="auto"/>
        <w:ind w:left="112" w:right="26" w:firstLine="490"/>
        <w:jc w:val="right"/>
        <w:rPr>
          <w:rFonts w:hint="eastAsia" w:ascii="宋体" w:hAnsi="宋体" w:eastAsia="宋体" w:cs="宋体"/>
          <w:sz w:val="24"/>
          <w:szCs w:val="24"/>
          <w:lang w:eastAsia="zh-CN"/>
        </w:rPr>
      </w:pPr>
      <w:r>
        <w:rPr>
          <w:rFonts w:hint="eastAsia" w:ascii="宋体" w:hAnsi="宋体" w:eastAsia="宋体" w:cs="宋体"/>
          <w:sz w:val="24"/>
          <w:szCs w:val="24"/>
        </w:rPr>
        <w:t>中国机械总院集团海西（福建）分院有限公司</w:t>
      </w:r>
    </w:p>
    <w:p w14:paraId="4AABAAF0">
      <w:pPr>
        <w:tabs>
          <w:tab w:val="left" w:pos="1446"/>
        </w:tabs>
        <w:spacing w:line="360" w:lineRule="auto"/>
        <w:ind w:left="112" w:right="26" w:firstLine="5349" w:firstLineChars="2229"/>
        <w:rPr>
          <w:rFonts w:ascii="宋体" w:hAnsi="宋体" w:eastAsia="宋体" w:cs="宋体"/>
          <w:sz w:val="24"/>
          <w:szCs w:val="24"/>
          <w:highlight w:val="none"/>
        </w:rPr>
      </w:pPr>
      <w:r>
        <w:rPr>
          <w:rFonts w:hint="eastAsia" w:ascii="宋体" w:hAnsi="宋体" w:eastAsia="宋体" w:cs="宋体"/>
          <w:sz w:val="24"/>
          <w:szCs w:val="24"/>
          <w:highlight w:val="none"/>
        </w:rPr>
        <w:t>招标委员会办公室</w:t>
      </w:r>
    </w:p>
    <w:p w14:paraId="5C388E14">
      <w:pPr>
        <w:tabs>
          <w:tab w:val="left" w:pos="1446"/>
        </w:tabs>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04</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日</w:t>
      </w:r>
    </w:p>
    <w:p w14:paraId="2CAE6C9C">
      <w:pPr>
        <w:spacing w:before="79" w:line="360" w:lineRule="auto"/>
        <w:jc w:val="center"/>
        <w:rPr>
          <w:b/>
          <w:kern w:val="24"/>
          <w:sz w:val="24"/>
          <w:szCs w:val="24"/>
        </w:rPr>
      </w:pPr>
    </w:p>
    <w:p w14:paraId="55C97E1B">
      <w:pPr>
        <w:spacing w:before="79" w:line="360" w:lineRule="auto"/>
        <w:jc w:val="center"/>
        <w:rPr>
          <w:b/>
          <w:kern w:val="24"/>
          <w:sz w:val="24"/>
          <w:szCs w:val="24"/>
        </w:rPr>
      </w:pPr>
    </w:p>
    <w:p w14:paraId="735C1054">
      <w:pPr>
        <w:spacing w:line="360" w:lineRule="auto"/>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24"/>
          <w:szCs w:val="24"/>
          <w14:textOutline w14:w="6527" w14:cap="flat" w14:cmpd="sng" w14:algn="ctr">
            <w14:solidFill>
              <w14:srgbClr w14:val="000000"/>
            </w14:solidFill>
            <w14:prstDash w14:val="solid"/>
            <w14:miter w14:val="0"/>
          </w14:textOutline>
        </w:rPr>
        <w:br w:type="page"/>
      </w:r>
    </w:p>
    <w:p w14:paraId="45E544FD">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附件：技术要求</w:t>
      </w:r>
    </w:p>
    <w:p w14:paraId="320142F6">
      <w:pPr>
        <w:pStyle w:val="2"/>
        <w:bidi w:val="0"/>
        <w:ind w:left="0" w:leftChars="0" w:firstLine="0" w:firstLineChars="0"/>
        <w:rPr>
          <w:rFonts w:hint="eastAsia"/>
          <w:b/>
          <w:bCs/>
          <w:lang w:val="en-US" w:eastAsia="zh-CN"/>
        </w:rPr>
      </w:pPr>
      <w:r>
        <w:rPr>
          <w:rFonts w:hint="eastAsia"/>
          <w:b/>
          <w:bCs/>
          <w:lang w:val="en-US" w:eastAsia="zh-CN"/>
        </w:rPr>
        <w:t>一、技术参数、配置要求</w:t>
      </w:r>
    </w:p>
    <w:tbl>
      <w:tblPr>
        <w:tblStyle w:val="14"/>
        <w:tblW w:w="9433" w:type="dxa"/>
        <w:jc w:val="center"/>
        <w:tblLayout w:type="fixed"/>
        <w:tblCellMar>
          <w:top w:w="0" w:type="dxa"/>
          <w:left w:w="0" w:type="dxa"/>
          <w:bottom w:w="0" w:type="dxa"/>
          <w:right w:w="0" w:type="dxa"/>
        </w:tblCellMar>
      </w:tblPr>
      <w:tblGrid>
        <w:gridCol w:w="1391"/>
        <w:gridCol w:w="3350"/>
        <w:gridCol w:w="3784"/>
        <w:gridCol w:w="908"/>
      </w:tblGrid>
      <w:tr w14:paraId="7EDAD933">
        <w:tblPrEx>
          <w:tblCellMar>
            <w:top w:w="0" w:type="dxa"/>
            <w:left w:w="0" w:type="dxa"/>
            <w:bottom w:w="0" w:type="dxa"/>
            <w:right w:w="0" w:type="dxa"/>
          </w:tblCellMar>
        </w:tblPrEx>
        <w:trPr>
          <w:trHeight w:val="595" w:hRule="atLeast"/>
          <w:jc w:val="center"/>
        </w:trPr>
        <w:tc>
          <w:tcPr>
            <w:tcW w:w="13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4C915C">
            <w:pPr>
              <w:jc w:val="center"/>
              <w:textAlignment w:val="center"/>
              <w:rPr>
                <w:rFonts w:hint="eastAsia" w:ascii="宋体" w:hAnsi="宋体" w:eastAsia="宋体" w:cs="宋体"/>
                <w:b/>
              </w:rPr>
            </w:pPr>
            <w:bookmarkStart w:id="4" w:name="_Toc14127"/>
            <w:r>
              <w:rPr>
                <w:rFonts w:hint="eastAsia" w:ascii="宋体" w:hAnsi="宋体" w:eastAsia="宋体" w:cs="宋体"/>
                <w:b/>
              </w:rPr>
              <w:t>设备名称</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C26B6">
            <w:pPr>
              <w:jc w:val="center"/>
              <w:textAlignment w:val="center"/>
              <w:rPr>
                <w:rFonts w:hint="eastAsia" w:ascii="宋体" w:hAnsi="宋体" w:eastAsia="宋体" w:cs="宋体"/>
                <w:b/>
              </w:rPr>
            </w:pPr>
            <w:r>
              <w:rPr>
                <w:rFonts w:hint="eastAsia" w:ascii="宋体" w:hAnsi="宋体" w:eastAsia="宋体" w:cs="宋体"/>
                <w:b/>
              </w:rPr>
              <w:t>主要技术参数</w:t>
            </w:r>
          </w:p>
        </w:tc>
        <w:tc>
          <w:tcPr>
            <w:tcW w:w="3784" w:type="dxa"/>
            <w:tcBorders>
              <w:top w:val="single" w:color="000000" w:sz="4" w:space="0"/>
              <w:left w:val="nil"/>
              <w:bottom w:val="single" w:color="000000" w:sz="4" w:space="0"/>
              <w:right w:val="nil"/>
            </w:tcBorders>
            <w:noWrap w:val="0"/>
            <w:tcMar>
              <w:top w:w="15" w:type="dxa"/>
              <w:left w:w="15" w:type="dxa"/>
              <w:right w:w="15" w:type="dxa"/>
            </w:tcMar>
            <w:vAlign w:val="center"/>
          </w:tcPr>
          <w:p w14:paraId="067B2280">
            <w:pPr>
              <w:jc w:val="center"/>
              <w:textAlignment w:val="center"/>
              <w:rPr>
                <w:rFonts w:hint="eastAsia" w:ascii="宋体" w:hAnsi="宋体" w:eastAsia="宋体" w:cs="宋体"/>
                <w:b/>
              </w:rPr>
            </w:pPr>
            <w:r>
              <w:rPr>
                <w:rFonts w:hint="eastAsia" w:ascii="宋体" w:hAnsi="宋体" w:eastAsia="宋体" w:cs="宋体"/>
                <w:b/>
              </w:rPr>
              <w:t>配置要求</w:t>
            </w:r>
          </w:p>
        </w:tc>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B57FD">
            <w:pPr>
              <w:jc w:val="center"/>
              <w:textAlignment w:val="center"/>
              <w:rPr>
                <w:rFonts w:hint="eastAsia" w:ascii="宋体" w:hAnsi="宋体" w:eastAsia="宋体" w:cs="宋体"/>
                <w:b/>
              </w:rPr>
            </w:pPr>
            <w:r>
              <w:rPr>
                <w:rFonts w:hint="eastAsia" w:ascii="宋体" w:hAnsi="宋体" w:eastAsia="宋体" w:cs="宋体"/>
                <w:b/>
              </w:rPr>
              <w:t>技术支持要求</w:t>
            </w:r>
          </w:p>
        </w:tc>
      </w:tr>
      <w:tr w14:paraId="2BD2391F">
        <w:tblPrEx>
          <w:tblCellMar>
            <w:top w:w="0" w:type="dxa"/>
            <w:left w:w="0" w:type="dxa"/>
            <w:bottom w:w="0" w:type="dxa"/>
            <w:right w:w="0" w:type="dxa"/>
          </w:tblCellMar>
        </w:tblPrEx>
        <w:trPr>
          <w:trHeight w:val="2680" w:hRule="atLeast"/>
          <w:jc w:val="center"/>
        </w:trPr>
        <w:tc>
          <w:tcPr>
            <w:tcW w:w="13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40ABA">
            <w:pPr>
              <w:pStyle w:val="2"/>
              <w:ind w:left="0" w:leftChars="0" w:firstLine="0" w:firstLineChars="0"/>
              <w:rPr>
                <w:rFonts w:hint="eastAsia" w:ascii="宋体" w:hAnsi="宋体" w:eastAsia="宋体" w:cs="宋体"/>
                <w:lang w:val="en-US" w:eastAsia="zh-CN"/>
              </w:rPr>
            </w:pPr>
            <w:r>
              <w:rPr>
                <w:rFonts w:hint="eastAsia" w:ascii="宋体" w:hAnsi="宋体" w:eastAsia="宋体" w:cs="宋体"/>
                <w:b/>
                <w:sz w:val="24"/>
                <w:szCs w:val="24"/>
                <w:lang w:val="en-US" w:eastAsia="zh-CN"/>
              </w:rPr>
              <w:t>搅拌摩擦焊</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75D12">
            <w:pPr>
              <w:rPr>
                <w:rFonts w:hint="eastAsia" w:ascii="宋体" w:hAnsi="宋体" w:eastAsia="宋体" w:cs="宋体"/>
                <w:sz w:val="18"/>
                <w:szCs w:val="18"/>
              </w:rPr>
            </w:pPr>
          </w:p>
          <w:p w14:paraId="134234F9">
            <w:pPr>
              <w:pStyle w:val="21"/>
              <w:numPr>
                <w:ilvl w:val="0"/>
                <w:numId w:val="0"/>
              </w:numPr>
              <w:ind w:left="420" w:leftChars="0" w:hanging="420" w:firstLineChars="0"/>
              <w:rPr>
                <w:rFonts w:hint="eastAsia" w:ascii="宋体" w:hAnsi="宋体" w:eastAsia="宋体" w:cs="宋体"/>
                <w:color w:val="auto"/>
                <w:sz w:val="24"/>
              </w:rPr>
            </w:pPr>
            <w:r>
              <w:rPr>
                <w:rFonts w:hint="default" w:ascii="Times New Roman" w:hAnsi="Times New Roman" w:eastAsia="宋体" w:cs="宋体"/>
                <w:b w:val="0"/>
                <w:i w:val="0"/>
                <w:snapToGrid w:val="0"/>
                <w:color w:val="auto"/>
                <w:sz w:val="24"/>
                <w:szCs w:val="24"/>
                <w:lang w:val="en-US" w:eastAsia="zh-CN" w:bidi="ar-SA"/>
              </w:rPr>
              <w:t>（1）</w:t>
            </w:r>
            <w:r>
              <w:rPr>
                <w:rFonts w:hint="eastAsia" w:ascii="宋体" w:hAnsi="宋体" w:eastAsia="宋体" w:cs="宋体"/>
                <w:color w:val="auto"/>
                <w:sz w:val="24"/>
              </w:rPr>
              <w:t>*焊接能力：6系铝合金焊接厚度≥30mm</w:t>
            </w:r>
          </w:p>
          <w:p w14:paraId="6DF6EAC7">
            <w:pPr>
              <w:pStyle w:val="21"/>
              <w:numPr>
                <w:ilvl w:val="0"/>
                <w:numId w:val="0"/>
              </w:numPr>
              <w:ind w:left="420" w:leftChars="0" w:hanging="420" w:firstLineChars="0"/>
              <w:rPr>
                <w:rFonts w:hint="eastAsia" w:ascii="宋体" w:hAnsi="宋体" w:eastAsia="宋体" w:cs="宋体"/>
                <w:color w:val="auto"/>
                <w:sz w:val="24"/>
              </w:rPr>
            </w:pPr>
            <w:r>
              <w:rPr>
                <w:rFonts w:hint="default" w:ascii="Times New Roman" w:hAnsi="Times New Roman" w:eastAsia="宋体" w:cs="宋体"/>
                <w:b w:val="0"/>
                <w:i w:val="0"/>
                <w:snapToGrid w:val="0"/>
                <w:color w:val="auto"/>
                <w:sz w:val="24"/>
                <w:szCs w:val="24"/>
                <w:lang w:val="en-US" w:eastAsia="zh-CN" w:bidi="ar-SA"/>
              </w:rPr>
              <w:t>（2）</w:t>
            </w:r>
            <w:r>
              <w:rPr>
                <w:rFonts w:hint="eastAsia" w:ascii="宋体" w:hAnsi="宋体" w:eastAsia="宋体" w:cs="宋体"/>
                <w:color w:val="auto"/>
                <w:sz w:val="24"/>
              </w:rPr>
              <w:t>*焊缝形式：平面二维曲线焊接</w:t>
            </w:r>
          </w:p>
          <w:p w14:paraId="3499C895">
            <w:pPr>
              <w:pStyle w:val="21"/>
              <w:numPr>
                <w:ilvl w:val="0"/>
                <w:numId w:val="0"/>
              </w:numPr>
              <w:ind w:left="420" w:leftChars="0" w:hanging="420" w:firstLineChars="0"/>
              <w:rPr>
                <w:rFonts w:hint="eastAsia" w:ascii="宋体" w:hAnsi="宋体" w:eastAsia="宋体" w:cs="宋体"/>
                <w:color w:val="auto"/>
                <w:sz w:val="24"/>
              </w:rPr>
            </w:pPr>
            <w:r>
              <w:rPr>
                <w:rFonts w:hint="default" w:ascii="Times New Roman" w:hAnsi="Times New Roman" w:eastAsia="宋体" w:cs="宋体"/>
                <w:b w:val="0"/>
                <w:i w:val="0"/>
                <w:snapToGrid w:val="0"/>
                <w:color w:val="auto"/>
                <w:sz w:val="24"/>
                <w:szCs w:val="24"/>
                <w:lang w:val="en-US" w:eastAsia="zh-CN" w:bidi="ar-SA"/>
              </w:rPr>
              <w:t>（3）</w:t>
            </w:r>
            <w:r>
              <w:rPr>
                <w:rFonts w:hint="eastAsia" w:ascii="宋体" w:hAnsi="宋体" w:eastAsia="宋体" w:cs="宋体"/>
                <w:color w:val="auto"/>
                <w:sz w:val="24"/>
              </w:rPr>
              <w:t>*工作台尺寸（长×宽）3200×3200mm</w:t>
            </w:r>
          </w:p>
          <w:p w14:paraId="0AB0D260">
            <w:pPr>
              <w:pStyle w:val="21"/>
              <w:numPr>
                <w:ilvl w:val="0"/>
                <w:numId w:val="0"/>
              </w:numPr>
              <w:ind w:left="420" w:leftChars="0" w:hanging="420" w:firstLineChars="0"/>
              <w:rPr>
                <w:rFonts w:hint="eastAsia" w:ascii="宋体" w:hAnsi="宋体" w:eastAsia="宋体" w:cs="宋体"/>
                <w:color w:val="auto"/>
                <w:sz w:val="24"/>
              </w:rPr>
            </w:pPr>
            <w:r>
              <w:rPr>
                <w:rFonts w:hint="default" w:ascii="Times New Roman" w:hAnsi="Times New Roman" w:eastAsia="宋体" w:cs="宋体"/>
                <w:b w:val="0"/>
                <w:i w:val="0"/>
                <w:snapToGrid w:val="0"/>
                <w:color w:val="auto"/>
                <w:sz w:val="24"/>
                <w:szCs w:val="24"/>
                <w:lang w:val="en-US" w:eastAsia="zh-CN" w:bidi="ar-SA"/>
              </w:rPr>
              <w:t>（4）</w:t>
            </w:r>
            <w:r>
              <w:rPr>
                <w:rFonts w:hint="eastAsia" w:ascii="宋体" w:hAnsi="宋体" w:eastAsia="宋体" w:cs="宋体"/>
                <w:color w:val="auto"/>
                <w:sz w:val="24"/>
              </w:rPr>
              <w:t>*龙门通过宽度≥3500mm</w:t>
            </w:r>
          </w:p>
          <w:p w14:paraId="3C8362F9">
            <w:pPr>
              <w:pStyle w:val="21"/>
              <w:numPr>
                <w:ilvl w:val="0"/>
                <w:numId w:val="0"/>
              </w:numPr>
              <w:ind w:left="420" w:leftChars="0" w:hanging="420" w:firstLineChars="0"/>
              <w:rPr>
                <w:rFonts w:hint="eastAsia" w:ascii="宋体" w:hAnsi="宋体" w:eastAsia="宋体" w:cs="宋体"/>
                <w:color w:val="auto"/>
                <w:sz w:val="24"/>
              </w:rPr>
            </w:pPr>
            <w:r>
              <w:rPr>
                <w:rFonts w:hint="default" w:ascii="Times New Roman" w:hAnsi="Times New Roman" w:eastAsia="宋体" w:cs="宋体"/>
                <w:b w:val="0"/>
                <w:i w:val="0"/>
                <w:snapToGrid w:val="0"/>
                <w:color w:val="auto"/>
                <w:sz w:val="24"/>
                <w:szCs w:val="24"/>
                <w:lang w:val="en-US" w:eastAsia="zh-CN" w:bidi="ar-SA"/>
              </w:rPr>
              <w:t>（5）</w:t>
            </w:r>
            <w:r>
              <w:rPr>
                <w:rFonts w:hint="eastAsia" w:ascii="宋体" w:hAnsi="宋体" w:eastAsia="宋体" w:cs="宋体"/>
                <w:color w:val="auto"/>
                <w:sz w:val="24"/>
              </w:rPr>
              <w:t>*主轴端面到工作台距离205-805mm</w:t>
            </w:r>
          </w:p>
          <w:p w14:paraId="1778C9D8">
            <w:pPr>
              <w:pStyle w:val="21"/>
              <w:numPr>
                <w:ilvl w:val="0"/>
                <w:numId w:val="0"/>
              </w:numPr>
              <w:ind w:left="420" w:leftChars="0" w:hanging="420" w:firstLineChars="0"/>
              <w:rPr>
                <w:rFonts w:hint="eastAsia" w:ascii="宋体" w:hAnsi="宋体" w:eastAsia="宋体" w:cs="宋体"/>
                <w:color w:val="auto"/>
                <w:sz w:val="24"/>
              </w:rPr>
            </w:pPr>
            <w:r>
              <w:rPr>
                <w:rFonts w:hint="default" w:ascii="Times New Roman" w:hAnsi="Times New Roman" w:eastAsia="宋体" w:cs="宋体"/>
                <w:b w:val="0"/>
                <w:i w:val="0"/>
                <w:snapToGrid w:val="0"/>
                <w:color w:val="auto"/>
                <w:sz w:val="24"/>
                <w:szCs w:val="24"/>
                <w:lang w:val="en-US" w:eastAsia="zh-CN" w:bidi="ar-SA"/>
              </w:rPr>
              <w:t>（6）</w:t>
            </w:r>
            <w:r>
              <w:rPr>
                <w:rFonts w:hint="eastAsia" w:ascii="宋体" w:hAnsi="宋体" w:eastAsia="宋体" w:cs="宋体"/>
                <w:color w:val="auto"/>
                <w:sz w:val="24"/>
              </w:rPr>
              <w:t>*龙门最大通过高度≥800mm</w:t>
            </w:r>
          </w:p>
          <w:p w14:paraId="0FE41FB7">
            <w:pPr>
              <w:pStyle w:val="21"/>
              <w:numPr>
                <w:ilvl w:val="0"/>
                <w:numId w:val="0"/>
              </w:numPr>
              <w:ind w:left="420" w:leftChars="0" w:hanging="420" w:firstLineChars="0"/>
              <w:rPr>
                <w:rFonts w:hint="eastAsia" w:ascii="宋体" w:hAnsi="宋体" w:eastAsia="宋体" w:cs="宋体"/>
                <w:color w:val="auto"/>
                <w:sz w:val="24"/>
              </w:rPr>
            </w:pPr>
            <w:r>
              <w:rPr>
                <w:rFonts w:hint="default" w:ascii="Times New Roman" w:hAnsi="Times New Roman" w:eastAsia="宋体" w:cs="宋体"/>
                <w:b w:val="0"/>
                <w:i w:val="0"/>
                <w:snapToGrid w:val="0"/>
                <w:color w:val="auto"/>
                <w:sz w:val="24"/>
                <w:szCs w:val="24"/>
                <w:lang w:val="en-US" w:eastAsia="zh-CN" w:bidi="ar-SA"/>
              </w:rPr>
              <w:t>（7）</w:t>
            </w:r>
            <w:r>
              <w:rPr>
                <w:rFonts w:hint="eastAsia" w:ascii="宋体" w:hAnsi="宋体" w:eastAsia="宋体" w:cs="宋体"/>
                <w:color w:val="auto"/>
                <w:sz w:val="24"/>
              </w:rPr>
              <w:t>*各进给轴行程：</w:t>
            </w:r>
          </w:p>
          <w:p w14:paraId="3DA16475">
            <w:pPr>
              <w:pStyle w:val="21"/>
              <w:ind w:left="420" w:firstLine="0" w:firstLineChars="0"/>
              <w:rPr>
                <w:rFonts w:hint="eastAsia" w:ascii="宋体" w:hAnsi="宋体" w:eastAsia="宋体" w:cs="宋体"/>
                <w:color w:val="auto"/>
                <w:sz w:val="24"/>
              </w:rPr>
            </w:pPr>
            <w:r>
              <w:rPr>
                <w:rFonts w:hint="eastAsia" w:ascii="宋体" w:hAnsi="宋体" w:eastAsia="宋体" w:cs="宋体"/>
                <w:color w:val="auto"/>
                <w:sz w:val="24"/>
              </w:rPr>
              <w:t>X轴≥3000mm</w:t>
            </w:r>
          </w:p>
          <w:p w14:paraId="7397A016">
            <w:pPr>
              <w:pStyle w:val="21"/>
              <w:ind w:left="420" w:firstLine="0" w:firstLineChars="0"/>
              <w:rPr>
                <w:rFonts w:hint="eastAsia" w:ascii="宋体" w:hAnsi="宋体" w:eastAsia="宋体" w:cs="宋体"/>
                <w:color w:val="auto"/>
                <w:sz w:val="24"/>
              </w:rPr>
            </w:pPr>
            <w:r>
              <w:rPr>
                <w:rFonts w:hint="eastAsia" w:ascii="宋体" w:hAnsi="宋体" w:eastAsia="宋体" w:cs="宋体"/>
                <w:color w:val="auto"/>
                <w:sz w:val="24"/>
              </w:rPr>
              <w:t>Y轴≥3000mm</w:t>
            </w:r>
          </w:p>
          <w:p w14:paraId="1AE5660E">
            <w:pPr>
              <w:pStyle w:val="21"/>
              <w:ind w:left="420" w:firstLine="0" w:firstLineChars="0"/>
              <w:rPr>
                <w:rFonts w:hint="eastAsia" w:ascii="宋体" w:hAnsi="宋体" w:eastAsia="宋体" w:cs="宋体"/>
                <w:color w:val="auto"/>
                <w:sz w:val="24"/>
              </w:rPr>
            </w:pPr>
            <w:r>
              <w:rPr>
                <w:rFonts w:hint="eastAsia" w:ascii="宋体" w:hAnsi="宋体" w:eastAsia="宋体" w:cs="宋体"/>
                <w:color w:val="auto"/>
                <w:sz w:val="24"/>
              </w:rPr>
              <w:t>Z轴≥600mm</w:t>
            </w:r>
          </w:p>
          <w:p w14:paraId="6D88D683">
            <w:pPr>
              <w:pStyle w:val="21"/>
              <w:ind w:left="420" w:firstLine="0" w:firstLineChars="0"/>
              <w:rPr>
                <w:rFonts w:hint="eastAsia" w:ascii="宋体" w:hAnsi="宋体" w:eastAsia="宋体" w:cs="宋体"/>
                <w:color w:val="auto"/>
                <w:sz w:val="24"/>
              </w:rPr>
            </w:pPr>
            <w:r>
              <w:rPr>
                <w:rFonts w:hint="eastAsia" w:ascii="宋体" w:hAnsi="宋体" w:eastAsia="宋体" w:cs="宋体"/>
                <w:color w:val="auto"/>
                <w:sz w:val="24"/>
              </w:rPr>
              <w:t>C轴±360°</w:t>
            </w:r>
          </w:p>
          <w:p w14:paraId="359A5EF8">
            <w:pPr>
              <w:pStyle w:val="21"/>
              <w:ind w:left="420" w:firstLine="0" w:firstLineChars="0"/>
              <w:rPr>
                <w:rFonts w:hint="eastAsia" w:ascii="宋体" w:hAnsi="宋体" w:eastAsia="宋体" w:cs="宋体"/>
                <w:color w:val="auto"/>
                <w:sz w:val="24"/>
              </w:rPr>
            </w:pPr>
            <w:r>
              <w:rPr>
                <w:rFonts w:hint="eastAsia" w:ascii="宋体" w:hAnsi="宋体" w:eastAsia="宋体" w:cs="宋体"/>
                <w:color w:val="auto"/>
                <w:sz w:val="24"/>
              </w:rPr>
              <w:t>主轴倾角（B轴）±5°（手动）</w:t>
            </w:r>
          </w:p>
          <w:p w14:paraId="7E3A21D6">
            <w:pPr>
              <w:pStyle w:val="21"/>
              <w:numPr>
                <w:ilvl w:val="0"/>
                <w:numId w:val="0"/>
              </w:numPr>
              <w:ind w:left="420" w:leftChars="0" w:hanging="420" w:firstLineChars="0"/>
              <w:rPr>
                <w:rFonts w:hint="eastAsia" w:ascii="宋体" w:hAnsi="宋体" w:eastAsia="宋体" w:cs="宋体"/>
                <w:color w:val="auto"/>
                <w:sz w:val="24"/>
              </w:rPr>
            </w:pPr>
            <w:r>
              <w:rPr>
                <w:rFonts w:hint="default" w:ascii="Times New Roman" w:hAnsi="Times New Roman" w:eastAsia="宋体" w:cs="宋体"/>
                <w:b w:val="0"/>
                <w:i w:val="0"/>
                <w:snapToGrid w:val="0"/>
                <w:color w:val="auto"/>
                <w:sz w:val="24"/>
                <w:szCs w:val="24"/>
                <w:lang w:val="en-US" w:eastAsia="zh-CN" w:bidi="ar-SA"/>
              </w:rPr>
              <w:t>（8）</w:t>
            </w:r>
            <w:r>
              <w:rPr>
                <w:rFonts w:hint="eastAsia" w:ascii="宋体" w:hAnsi="宋体" w:eastAsia="宋体" w:cs="宋体"/>
                <w:color w:val="auto"/>
                <w:sz w:val="24"/>
              </w:rPr>
              <w:t>*最大快移速度：</w:t>
            </w:r>
          </w:p>
          <w:p w14:paraId="17311577">
            <w:pPr>
              <w:pStyle w:val="21"/>
              <w:ind w:left="420" w:firstLine="0" w:firstLineChars="0"/>
              <w:rPr>
                <w:rFonts w:hint="eastAsia" w:ascii="宋体" w:hAnsi="宋体" w:eastAsia="宋体" w:cs="宋体"/>
                <w:color w:val="auto"/>
                <w:sz w:val="24"/>
              </w:rPr>
            </w:pPr>
            <w:r>
              <w:rPr>
                <w:rFonts w:hint="eastAsia" w:ascii="宋体" w:hAnsi="宋体" w:eastAsia="宋体" w:cs="宋体"/>
                <w:color w:val="auto"/>
                <w:sz w:val="24"/>
              </w:rPr>
              <w:t>X轴≥6000mm/min；</w:t>
            </w:r>
          </w:p>
          <w:p w14:paraId="5111407C">
            <w:pPr>
              <w:pStyle w:val="21"/>
              <w:ind w:left="420" w:firstLine="0" w:firstLineChars="0"/>
              <w:rPr>
                <w:rFonts w:hint="eastAsia" w:ascii="宋体" w:hAnsi="宋体" w:eastAsia="宋体" w:cs="宋体"/>
                <w:color w:val="auto"/>
                <w:sz w:val="24"/>
              </w:rPr>
            </w:pPr>
            <w:r>
              <w:rPr>
                <w:rFonts w:hint="eastAsia" w:ascii="宋体" w:hAnsi="宋体" w:eastAsia="宋体" w:cs="宋体"/>
                <w:color w:val="auto"/>
                <w:sz w:val="24"/>
              </w:rPr>
              <w:t>Y轴≥6000mm/min；</w:t>
            </w:r>
          </w:p>
          <w:p w14:paraId="1DE3AF1D">
            <w:pPr>
              <w:pStyle w:val="21"/>
              <w:ind w:left="420" w:firstLine="0" w:firstLineChars="0"/>
              <w:rPr>
                <w:rFonts w:hint="eastAsia" w:ascii="宋体" w:hAnsi="宋体" w:eastAsia="宋体" w:cs="宋体"/>
                <w:color w:val="auto"/>
                <w:sz w:val="24"/>
              </w:rPr>
            </w:pPr>
            <w:r>
              <w:rPr>
                <w:rFonts w:hint="eastAsia" w:ascii="宋体" w:hAnsi="宋体" w:eastAsia="宋体" w:cs="宋体"/>
                <w:color w:val="auto"/>
                <w:sz w:val="24"/>
              </w:rPr>
              <w:t>Z轴≥3000mm/min。</w:t>
            </w:r>
          </w:p>
          <w:p w14:paraId="42C1ABC0">
            <w:pPr>
              <w:pStyle w:val="21"/>
              <w:numPr>
                <w:ilvl w:val="0"/>
                <w:numId w:val="0"/>
              </w:numPr>
              <w:ind w:left="420" w:leftChars="0" w:hanging="420" w:firstLineChars="0"/>
              <w:rPr>
                <w:rFonts w:hint="eastAsia" w:ascii="宋体" w:hAnsi="宋体" w:eastAsia="宋体" w:cs="宋体"/>
                <w:color w:val="auto"/>
                <w:sz w:val="24"/>
              </w:rPr>
            </w:pPr>
            <w:r>
              <w:rPr>
                <w:rFonts w:hint="default" w:ascii="Times New Roman" w:hAnsi="Times New Roman" w:eastAsia="宋体" w:cs="宋体"/>
                <w:b w:val="0"/>
                <w:i w:val="0"/>
                <w:snapToGrid w:val="0"/>
                <w:color w:val="auto"/>
                <w:sz w:val="24"/>
                <w:szCs w:val="24"/>
                <w:lang w:val="en-US" w:eastAsia="zh-CN" w:bidi="ar-SA"/>
              </w:rPr>
              <w:t>（9）</w:t>
            </w:r>
            <w:r>
              <w:rPr>
                <w:rFonts w:hint="eastAsia" w:ascii="宋体" w:hAnsi="宋体" w:eastAsia="宋体" w:cs="宋体"/>
                <w:color w:val="auto"/>
                <w:sz w:val="24"/>
              </w:rPr>
              <w:t>*各运动轴精度：</w:t>
            </w:r>
          </w:p>
          <w:p w14:paraId="1AE6B1C7">
            <w:pPr>
              <w:pStyle w:val="21"/>
              <w:ind w:left="420" w:firstLine="0" w:firstLineChars="0"/>
              <w:rPr>
                <w:rFonts w:hint="eastAsia" w:ascii="宋体" w:hAnsi="宋体" w:eastAsia="宋体" w:cs="宋体"/>
                <w:color w:val="auto"/>
                <w:sz w:val="24"/>
              </w:rPr>
            </w:pPr>
            <w:r>
              <w:rPr>
                <w:rFonts w:hint="eastAsia" w:ascii="宋体" w:hAnsi="宋体" w:eastAsia="宋体" w:cs="宋体"/>
                <w:color w:val="auto"/>
                <w:sz w:val="24"/>
              </w:rPr>
              <w:t>X轴定位精度0.05mm/全程，重复定位精度0.03mm/全程；</w:t>
            </w:r>
          </w:p>
          <w:p w14:paraId="1F3EEEA5">
            <w:pPr>
              <w:pStyle w:val="21"/>
              <w:ind w:left="420" w:firstLine="0" w:firstLineChars="0"/>
              <w:rPr>
                <w:rFonts w:hint="eastAsia" w:ascii="宋体" w:hAnsi="宋体" w:eastAsia="宋体" w:cs="宋体"/>
                <w:color w:val="auto"/>
                <w:sz w:val="24"/>
              </w:rPr>
            </w:pPr>
            <w:r>
              <w:rPr>
                <w:rFonts w:hint="eastAsia" w:ascii="宋体" w:hAnsi="宋体" w:eastAsia="宋体" w:cs="宋体"/>
                <w:color w:val="auto"/>
                <w:sz w:val="24"/>
              </w:rPr>
              <w:t>Y轴定位精度0.05mm/全程，重复定位精度0.03mm/全程；</w:t>
            </w:r>
          </w:p>
          <w:p w14:paraId="4C55F121">
            <w:pPr>
              <w:pStyle w:val="21"/>
              <w:ind w:left="420" w:firstLine="0" w:firstLineChars="0"/>
              <w:rPr>
                <w:rFonts w:hint="eastAsia" w:ascii="宋体" w:hAnsi="宋体" w:eastAsia="宋体" w:cs="宋体"/>
                <w:color w:val="auto"/>
                <w:sz w:val="24"/>
              </w:rPr>
            </w:pPr>
            <w:r>
              <w:rPr>
                <w:rFonts w:hint="eastAsia" w:ascii="宋体" w:hAnsi="宋体" w:eastAsia="宋体" w:cs="宋体"/>
                <w:color w:val="auto"/>
                <w:sz w:val="24"/>
              </w:rPr>
              <w:t>Z轴定位精度0.05mm/全程，重复定位精度0.03mm/全程</w:t>
            </w:r>
          </w:p>
          <w:p w14:paraId="181059E1">
            <w:pPr>
              <w:pStyle w:val="21"/>
              <w:numPr>
                <w:ilvl w:val="0"/>
                <w:numId w:val="0"/>
              </w:numPr>
              <w:ind w:left="420" w:leftChars="0" w:hanging="420" w:firstLineChars="0"/>
              <w:rPr>
                <w:rFonts w:hint="eastAsia" w:ascii="宋体" w:hAnsi="宋体" w:eastAsia="宋体" w:cs="宋体"/>
                <w:color w:val="auto"/>
                <w:sz w:val="24"/>
              </w:rPr>
            </w:pPr>
            <w:r>
              <w:rPr>
                <w:rFonts w:hint="default" w:ascii="Times New Roman" w:hAnsi="Times New Roman" w:eastAsia="宋体" w:cs="宋体"/>
                <w:b w:val="0"/>
                <w:i w:val="0"/>
                <w:snapToGrid w:val="0"/>
                <w:color w:val="auto"/>
                <w:sz w:val="24"/>
                <w:szCs w:val="24"/>
                <w:lang w:val="en-US" w:eastAsia="zh-CN" w:bidi="ar-SA"/>
              </w:rPr>
              <w:t>（10）</w:t>
            </w:r>
            <w:r>
              <w:rPr>
                <w:rFonts w:hint="eastAsia" w:ascii="宋体" w:hAnsi="宋体" w:eastAsia="宋体" w:cs="宋体"/>
                <w:color w:val="auto"/>
                <w:sz w:val="24"/>
              </w:rPr>
              <w:t>*主轴扭矩≥257N▪m</w:t>
            </w:r>
          </w:p>
          <w:p w14:paraId="4654CCE0">
            <w:pPr>
              <w:pStyle w:val="21"/>
              <w:numPr>
                <w:ilvl w:val="0"/>
                <w:numId w:val="0"/>
              </w:numPr>
              <w:ind w:left="420" w:leftChars="0" w:hanging="420" w:firstLineChars="0"/>
              <w:rPr>
                <w:rFonts w:hint="eastAsia" w:ascii="宋体" w:hAnsi="宋体" w:eastAsia="宋体" w:cs="宋体"/>
                <w:color w:val="auto"/>
                <w:sz w:val="24"/>
              </w:rPr>
            </w:pPr>
            <w:r>
              <w:rPr>
                <w:rFonts w:hint="default" w:ascii="Times New Roman" w:hAnsi="Times New Roman" w:eastAsia="宋体" w:cs="宋体"/>
                <w:b w:val="0"/>
                <w:i w:val="0"/>
                <w:snapToGrid w:val="0"/>
                <w:color w:val="auto"/>
                <w:sz w:val="24"/>
                <w:szCs w:val="24"/>
                <w:lang w:val="en-US" w:eastAsia="zh-CN" w:bidi="ar-SA"/>
              </w:rPr>
              <w:t>（11）</w:t>
            </w:r>
            <w:r>
              <w:rPr>
                <w:rFonts w:hint="eastAsia" w:ascii="宋体" w:hAnsi="宋体" w:eastAsia="宋体" w:cs="宋体"/>
                <w:color w:val="auto"/>
                <w:sz w:val="24"/>
              </w:rPr>
              <w:t>*主轴顶锻力（KN）≥100KN</w:t>
            </w:r>
          </w:p>
          <w:p w14:paraId="3E4499CC">
            <w:pPr>
              <w:pStyle w:val="21"/>
              <w:numPr>
                <w:ilvl w:val="0"/>
                <w:numId w:val="0"/>
              </w:numPr>
              <w:ind w:left="420" w:leftChars="0" w:hanging="420" w:firstLineChars="0"/>
              <w:rPr>
                <w:rFonts w:hint="eastAsia" w:ascii="宋体" w:hAnsi="宋体" w:eastAsia="宋体" w:cs="宋体"/>
                <w:color w:val="auto"/>
                <w:sz w:val="24"/>
              </w:rPr>
            </w:pPr>
            <w:r>
              <w:rPr>
                <w:rFonts w:hint="default" w:ascii="Times New Roman" w:hAnsi="Times New Roman" w:eastAsia="宋体" w:cs="宋体"/>
                <w:b w:val="0"/>
                <w:i w:val="0"/>
                <w:snapToGrid w:val="0"/>
                <w:color w:val="auto"/>
                <w:sz w:val="24"/>
                <w:szCs w:val="24"/>
                <w:lang w:val="en-US" w:eastAsia="zh-CN" w:bidi="ar-SA"/>
              </w:rPr>
              <w:t>（12）</w:t>
            </w:r>
            <w:r>
              <w:rPr>
                <w:rFonts w:hint="eastAsia" w:ascii="宋体" w:hAnsi="宋体" w:eastAsia="宋体" w:cs="宋体"/>
                <w:color w:val="auto"/>
                <w:sz w:val="24"/>
              </w:rPr>
              <w:t>*主轴最大转速≥2000rpm</w:t>
            </w:r>
          </w:p>
          <w:p w14:paraId="03C7CE45">
            <w:pPr>
              <w:pStyle w:val="21"/>
              <w:numPr>
                <w:ilvl w:val="0"/>
                <w:numId w:val="0"/>
              </w:numPr>
              <w:spacing w:line="360" w:lineRule="auto"/>
              <w:ind w:left="420" w:leftChars="0" w:hanging="420" w:firstLineChars="0"/>
              <w:rPr>
                <w:rFonts w:hint="eastAsia" w:ascii="宋体" w:hAnsi="宋体" w:eastAsia="宋体" w:cs="宋体"/>
                <w:color w:val="auto"/>
              </w:rPr>
            </w:pPr>
            <w:r>
              <w:rPr>
                <w:rFonts w:hint="default" w:ascii="Times New Roman" w:hAnsi="Times New Roman" w:eastAsia="宋体" w:cs="宋体"/>
                <w:b w:val="0"/>
                <w:i w:val="0"/>
                <w:snapToGrid w:val="0"/>
                <w:color w:val="auto"/>
                <w:sz w:val="24"/>
                <w:szCs w:val="24"/>
                <w:lang w:val="en-US" w:eastAsia="zh-CN" w:bidi="ar-SA"/>
              </w:rPr>
              <w:t>（13）</w:t>
            </w:r>
            <w:r>
              <w:rPr>
                <w:rFonts w:hint="eastAsia" w:ascii="宋体" w:hAnsi="宋体" w:eastAsia="宋体" w:cs="宋体"/>
                <w:color w:val="auto"/>
                <w:sz w:val="24"/>
              </w:rPr>
              <w:t>*刀柄规格BT50</w:t>
            </w:r>
          </w:p>
          <w:p w14:paraId="67DA1516">
            <w:pPr>
              <w:pStyle w:val="2"/>
              <w:kinsoku/>
              <w:spacing w:line="240" w:lineRule="auto"/>
              <w:ind w:firstLine="0" w:firstLineChars="0"/>
              <w:rPr>
                <w:rFonts w:hint="eastAsia" w:ascii="宋体" w:hAnsi="宋体" w:eastAsia="宋体" w:cs="宋体"/>
                <w:sz w:val="18"/>
                <w:szCs w:val="18"/>
              </w:rPr>
            </w:pPr>
          </w:p>
        </w:tc>
        <w:tc>
          <w:tcPr>
            <w:tcW w:w="3784" w:type="dxa"/>
            <w:tcBorders>
              <w:top w:val="single" w:color="000000" w:sz="4" w:space="0"/>
              <w:left w:val="nil"/>
              <w:bottom w:val="single" w:color="000000" w:sz="4" w:space="0"/>
              <w:right w:val="nil"/>
            </w:tcBorders>
            <w:noWrap w:val="0"/>
            <w:tcMar>
              <w:top w:w="15" w:type="dxa"/>
              <w:left w:w="15" w:type="dxa"/>
              <w:right w:w="15" w:type="dxa"/>
            </w:tcMar>
            <w:vAlign w:val="center"/>
          </w:tcPr>
          <w:tbl>
            <w:tblPr>
              <w:tblStyle w:val="14"/>
              <w:tblW w:w="5127"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27"/>
            </w:tblGrid>
            <w:tr w14:paraId="6C45A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27" w:type="dxa"/>
                  <w:tcBorders>
                    <w:top w:val="nil"/>
                    <w:left w:val="nil"/>
                    <w:bottom w:val="nil"/>
                    <w:right w:val="nil"/>
                  </w:tcBorders>
                  <w:shd w:val="clear" w:color="auto" w:fill="auto"/>
                  <w:noWrap/>
                  <w:vAlign w:val="center"/>
                </w:tcPr>
                <w:p w14:paraId="091FB1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数控系统：德国SIEMENS 828D</w:t>
                  </w:r>
                </w:p>
              </w:tc>
            </w:tr>
            <w:tr w14:paraId="45734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27" w:type="dxa"/>
                  <w:tcBorders>
                    <w:top w:val="nil"/>
                    <w:left w:val="nil"/>
                    <w:bottom w:val="nil"/>
                    <w:right w:val="nil"/>
                  </w:tcBorders>
                  <w:shd w:val="clear" w:color="auto" w:fill="auto"/>
                  <w:noWrap/>
                  <w:vAlign w:val="center"/>
                </w:tcPr>
                <w:p w14:paraId="7ACCDC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搅拌工具空气冷却系统</w:t>
                  </w:r>
                </w:p>
              </w:tc>
            </w:tr>
            <w:tr w14:paraId="5FF80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27" w:type="dxa"/>
                  <w:tcBorders>
                    <w:top w:val="nil"/>
                    <w:left w:val="nil"/>
                    <w:bottom w:val="nil"/>
                    <w:right w:val="nil"/>
                  </w:tcBorders>
                  <w:shd w:val="clear" w:color="auto" w:fill="auto"/>
                  <w:noWrap/>
                  <w:vAlign w:val="center"/>
                </w:tcPr>
                <w:p w14:paraId="79A2B9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安全防护系统</w:t>
                  </w:r>
                </w:p>
              </w:tc>
            </w:tr>
            <w:tr w14:paraId="03324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27" w:type="dxa"/>
                  <w:tcBorders>
                    <w:top w:val="nil"/>
                    <w:left w:val="nil"/>
                    <w:bottom w:val="nil"/>
                    <w:right w:val="nil"/>
                  </w:tcBorders>
                  <w:shd w:val="clear" w:color="auto" w:fill="auto"/>
                  <w:noWrap/>
                  <w:vAlign w:val="center"/>
                </w:tcPr>
                <w:p w14:paraId="141AE7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搅拌工具寿命监控系统</w:t>
                  </w:r>
                </w:p>
              </w:tc>
            </w:tr>
            <w:tr w14:paraId="3FD46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27" w:type="dxa"/>
                  <w:tcBorders>
                    <w:top w:val="nil"/>
                    <w:left w:val="nil"/>
                    <w:bottom w:val="nil"/>
                    <w:right w:val="nil"/>
                  </w:tcBorders>
                  <w:shd w:val="clear" w:color="auto" w:fill="auto"/>
                  <w:noWrap/>
                  <w:vAlign w:val="center"/>
                </w:tcPr>
                <w:p w14:paraId="2B20EA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工件计数系统</w:t>
                  </w:r>
                </w:p>
              </w:tc>
            </w:tr>
            <w:tr w14:paraId="7AF6B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27" w:type="dxa"/>
                  <w:tcBorders>
                    <w:top w:val="nil"/>
                    <w:left w:val="nil"/>
                    <w:bottom w:val="nil"/>
                    <w:right w:val="nil"/>
                  </w:tcBorders>
                  <w:shd w:val="clear" w:color="auto" w:fill="auto"/>
                  <w:noWrap/>
                  <w:vAlign w:val="center"/>
                </w:tcPr>
                <w:p w14:paraId="624015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恒压力控制系统</w:t>
                  </w:r>
                </w:p>
              </w:tc>
            </w:tr>
            <w:tr w14:paraId="2EF0D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27" w:type="dxa"/>
                  <w:tcBorders>
                    <w:top w:val="nil"/>
                    <w:left w:val="nil"/>
                    <w:bottom w:val="nil"/>
                    <w:right w:val="nil"/>
                  </w:tcBorders>
                  <w:shd w:val="clear" w:color="auto" w:fill="auto"/>
                  <w:noWrap/>
                  <w:vAlign w:val="center"/>
                </w:tcPr>
                <w:p w14:paraId="7E7772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数据追溯系统</w:t>
                  </w:r>
                </w:p>
              </w:tc>
            </w:tr>
            <w:tr w14:paraId="16180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27" w:type="dxa"/>
                  <w:tcBorders>
                    <w:top w:val="nil"/>
                    <w:left w:val="nil"/>
                    <w:bottom w:val="nil"/>
                    <w:right w:val="nil"/>
                  </w:tcBorders>
                  <w:shd w:val="clear" w:color="auto" w:fill="auto"/>
                  <w:noWrap/>
                  <w:vAlign w:val="center"/>
                </w:tcPr>
                <w:p w14:paraId="072E76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主轴电机：德国SIEMENS</w:t>
                  </w:r>
                </w:p>
              </w:tc>
            </w:tr>
            <w:tr w14:paraId="19B5F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27" w:type="dxa"/>
                  <w:tcBorders>
                    <w:top w:val="nil"/>
                    <w:left w:val="nil"/>
                    <w:bottom w:val="nil"/>
                    <w:right w:val="nil"/>
                  </w:tcBorders>
                  <w:shd w:val="clear" w:color="auto" w:fill="auto"/>
                  <w:noWrap/>
                  <w:vAlign w:val="center"/>
                </w:tcPr>
                <w:p w14:paraId="7C93F9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进给电机：德国SIEMENS</w:t>
                  </w:r>
                </w:p>
              </w:tc>
            </w:tr>
            <w:tr w14:paraId="62DA1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27" w:type="dxa"/>
                  <w:tcBorders>
                    <w:top w:val="nil"/>
                    <w:left w:val="nil"/>
                    <w:bottom w:val="nil"/>
                    <w:right w:val="nil"/>
                  </w:tcBorders>
                  <w:shd w:val="clear" w:color="auto" w:fill="auto"/>
                  <w:noWrap/>
                  <w:vAlign w:val="center"/>
                </w:tcPr>
                <w:p w14:paraId="03531C26">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伺服减速器：台湾APEX/德国</w:t>
                  </w:r>
                </w:p>
                <w:p w14:paraId="24181D97">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Neugart/法国Dynabox /</w:t>
                  </w:r>
                </w:p>
                <w:p w14:paraId="74334C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Duplexbox</w:t>
                  </w:r>
                </w:p>
              </w:tc>
            </w:tr>
            <w:tr w14:paraId="53F69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27" w:type="dxa"/>
                  <w:tcBorders>
                    <w:top w:val="nil"/>
                    <w:left w:val="nil"/>
                    <w:bottom w:val="nil"/>
                    <w:right w:val="nil"/>
                  </w:tcBorders>
                  <w:shd w:val="clear" w:color="auto" w:fill="auto"/>
                  <w:noWrap/>
                  <w:vAlign w:val="center"/>
                </w:tcPr>
                <w:p w14:paraId="05C2D9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联轴器：德国KTR</w:t>
                  </w:r>
                </w:p>
              </w:tc>
            </w:tr>
            <w:tr w14:paraId="64A3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27" w:type="dxa"/>
                  <w:tcBorders>
                    <w:top w:val="nil"/>
                    <w:left w:val="nil"/>
                    <w:bottom w:val="nil"/>
                    <w:right w:val="nil"/>
                  </w:tcBorders>
                  <w:shd w:val="clear" w:color="auto" w:fill="auto"/>
                  <w:noWrap/>
                  <w:vAlign w:val="center"/>
                </w:tcPr>
                <w:p w14:paraId="4154A408">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丝杠：日本THK/上银／南京工艺/</w:t>
                  </w:r>
                </w:p>
                <w:p w14:paraId="487293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台湾HIWIN</w:t>
                  </w:r>
                </w:p>
              </w:tc>
            </w:tr>
            <w:tr w14:paraId="01FBD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27" w:type="dxa"/>
                  <w:tcBorders>
                    <w:top w:val="nil"/>
                    <w:left w:val="nil"/>
                    <w:bottom w:val="nil"/>
                    <w:right w:val="nil"/>
                  </w:tcBorders>
                  <w:shd w:val="clear" w:color="auto" w:fill="auto"/>
                  <w:noWrap/>
                  <w:vAlign w:val="center"/>
                </w:tcPr>
                <w:p w14:paraId="4996AA90">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导轨：日本THK/上银／南京工艺/</w:t>
                  </w:r>
                </w:p>
                <w:p w14:paraId="75A978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台湾HIWIN</w:t>
                  </w:r>
                </w:p>
              </w:tc>
            </w:tr>
            <w:tr w14:paraId="36443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27" w:type="dxa"/>
                  <w:tcBorders>
                    <w:top w:val="nil"/>
                    <w:left w:val="nil"/>
                    <w:bottom w:val="nil"/>
                    <w:right w:val="nil"/>
                  </w:tcBorders>
                  <w:shd w:val="clear" w:color="auto" w:fill="auto"/>
                  <w:noWrap/>
                  <w:vAlign w:val="center"/>
                </w:tcPr>
                <w:p w14:paraId="374A13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主轴轴承：德国FAG/日本NSK</w:t>
                  </w:r>
                </w:p>
              </w:tc>
            </w:tr>
            <w:tr w14:paraId="03091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27" w:type="dxa"/>
                  <w:tcBorders>
                    <w:top w:val="nil"/>
                    <w:left w:val="nil"/>
                    <w:bottom w:val="nil"/>
                    <w:right w:val="nil"/>
                  </w:tcBorders>
                  <w:shd w:val="clear" w:color="auto" w:fill="auto"/>
                  <w:noWrap/>
                  <w:vAlign w:val="center"/>
                </w:tcPr>
                <w:p w14:paraId="1C8B91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润滑系统：台湾裕祥</w:t>
                  </w:r>
                </w:p>
              </w:tc>
            </w:tr>
            <w:tr w14:paraId="071F3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27" w:type="dxa"/>
                  <w:tcBorders>
                    <w:top w:val="nil"/>
                    <w:left w:val="nil"/>
                    <w:bottom w:val="nil"/>
                    <w:right w:val="nil"/>
                  </w:tcBorders>
                  <w:shd w:val="clear" w:color="auto" w:fill="auto"/>
                  <w:noWrap/>
                  <w:vAlign w:val="center"/>
                </w:tcPr>
                <w:p w14:paraId="2CC1C7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低压元器件：施耐德／欧姆龙</w:t>
                  </w:r>
                </w:p>
              </w:tc>
            </w:tr>
          </w:tbl>
          <w:p w14:paraId="24DD0E84">
            <w:pPr>
              <w:kinsoku/>
              <w:textAlignment w:val="center"/>
              <w:rPr>
                <w:rFonts w:hint="eastAsia" w:ascii="宋体" w:hAnsi="宋体" w:eastAsia="宋体" w:cs="宋体"/>
                <w:sz w:val="20"/>
                <w:szCs w:val="20"/>
              </w:rPr>
            </w:pPr>
          </w:p>
        </w:tc>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49D02">
            <w:pPr>
              <w:jc w:val="center"/>
              <w:textAlignment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r>
              <w:rPr>
                <w:rFonts w:hint="eastAsia" w:ascii="Times New Roman" w:hAnsi="Times New Roman" w:eastAsia="宋体" w:cs="宋体"/>
                <w:color w:val="auto"/>
                <w:sz w:val="24"/>
                <w:highlight w:val="none"/>
              </w:rPr>
              <w:t>培训设备操作、编程及维修等，安排现场培训不少于3天</w:t>
            </w:r>
          </w:p>
        </w:tc>
      </w:tr>
    </w:tbl>
    <w:p w14:paraId="2E8BCA4A">
      <w:pPr>
        <w:numPr>
          <w:ilvl w:val="0"/>
          <w:numId w:val="0"/>
        </w:numPr>
        <w:spacing w:before="240" w:beforeLines="100" w:line="360" w:lineRule="auto"/>
        <w:jc w:val="both"/>
        <w:outlineLvl w:val="0"/>
        <w:rPr>
          <w:rFonts w:hint="eastAsia" w:ascii="宋体" w:hAnsi="宋体" w:eastAsia="宋体" w:cs="宋体"/>
          <w:b/>
          <w:sz w:val="36"/>
          <w:szCs w:val="36"/>
          <w:highlight w:val="none"/>
          <w:lang w:val="en-US" w:eastAsia="zh-CN"/>
          <w14:textOutline w14:w="6527" w14:cap="flat" w14:cmpd="sng" w14:algn="ctr">
            <w14:solidFill>
              <w14:srgbClr w14:val="000000"/>
            </w14:solidFill>
            <w14:prstDash w14:val="solid"/>
            <w14:miter w14:val="0"/>
          </w14:textOutline>
        </w:rPr>
      </w:pPr>
    </w:p>
    <w:p w14:paraId="363E4A8F">
      <w:pPr>
        <w:pStyle w:val="2"/>
        <w:bidi w:val="0"/>
        <w:ind w:left="0" w:leftChars="0" w:firstLine="0" w:firstLineChars="0"/>
        <w:rPr>
          <w:rFonts w:hint="eastAsia"/>
          <w:b/>
          <w:bCs/>
          <w:highlight w:val="none"/>
          <w:lang w:eastAsia="zh-CN"/>
        </w:rPr>
      </w:pPr>
      <w:r>
        <w:rPr>
          <w:rFonts w:hint="eastAsia"/>
          <w:b/>
          <w:bCs/>
          <w:highlight w:val="none"/>
          <w:lang w:val="en-US" w:eastAsia="zh-CN"/>
        </w:rPr>
        <w:t>二、</w:t>
      </w:r>
      <w:r>
        <w:rPr>
          <w:rFonts w:hint="eastAsia"/>
          <w:b/>
          <w:bCs/>
          <w:highlight w:val="none"/>
        </w:rPr>
        <w:t>交付资料和文件</w:t>
      </w:r>
    </w:p>
    <w:tbl>
      <w:tblPr>
        <w:tblStyle w:val="14"/>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4166"/>
        <w:gridCol w:w="1236"/>
        <w:gridCol w:w="2745"/>
      </w:tblGrid>
      <w:tr w14:paraId="3381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9" w:type="dxa"/>
            <w:vAlign w:val="center"/>
          </w:tcPr>
          <w:p w14:paraId="0B73E89F">
            <w:pPr>
              <w:jc w:val="center"/>
              <w:rPr>
                <w:rFonts w:ascii="Times New Roman" w:hAnsi="Times New Roman" w:eastAsia="宋体"/>
                <w:b/>
                <w:bCs/>
                <w:color w:val="auto"/>
                <w:spacing w:val="6"/>
                <w:sz w:val="24"/>
                <w:szCs w:val="24"/>
                <w:highlight w:val="none"/>
              </w:rPr>
            </w:pPr>
            <w:r>
              <w:rPr>
                <w:rFonts w:ascii="Times New Roman" w:hAnsi="Times New Roman" w:eastAsia="宋体"/>
                <w:b/>
                <w:bCs/>
                <w:color w:val="auto"/>
                <w:spacing w:val="6"/>
                <w:sz w:val="24"/>
                <w:szCs w:val="24"/>
                <w:highlight w:val="none"/>
              </w:rPr>
              <w:t>序号</w:t>
            </w:r>
          </w:p>
        </w:tc>
        <w:tc>
          <w:tcPr>
            <w:tcW w:w="4166" w:type="dxa"/>
            <w:vAlign w:val="center"/>
          </w:tcPr>
          <w:p w14:paraId="78AFCF29">
            <w:pPr>
              <w:jc w:val="center"/>
              <w:rPr>
                <w:rFonts w:ascii="Times New Roman" w:hAnsi="Times New Roman" w:eastAsia="宋体"/>
                <w:b/>
                <w:bCs/>
                <w:color w:val="auto"/>
                <w:spacing w:val="6"/>
                <w:sz w:val="24"/>
                <w:szCs w:val="24"/>
                <w:highlight w:val="none"/>
              </w:rPr>
            </w:pPr>
            <w:r>
              <w:rPr>
                <w:rFonts w:ascii="Times New Roman" w:hAnsi="Times New Roman" w:eastAsia="宋体"/>
                <w:b/>
                <w:bCs/>
                <w:color w:val="auto"/>
                <w:spacing w:val="6"/>
                <w:sz w:val="24"/>
                <w:szCs w:val="24"/>
                <w:highlight w:val="none"/>
              </w:rPr>
              <w:t>名称</w:t>
            </w:r>
          </w:p>
        </w:tc>
        <w:tc>
          <w:tcPr>
            <w:tcW w:w="1236" w:type="dxa"/>
            <w:vAlign w:val="center"/>
          </w:tcPr>
          <w:p w14:paraId="0BAB48F7">
            <w:pPr>
              <w:jc w:val="center"/>
              <w:rPr>
                <w:rFonts w:ascii="Times New Roman" w:hAnsi="Times New Roman" w:eastAsia="宋体"/>
                <w:b/>
                <w:bCs/>
                <w:color w:val="auto"/>
                <w:spacing w:val="6"/>
                <w:sz w:val="24"/>
                <w:szCs w:val="24"/>
                <w:highlight w:val="none"/>
              </w:rPr>
            </w:pPr>
            <w:r>
              <w:rPr>
                <w:rFonts w:ascii="Times New Roman" w:hAnsi="Times New Roman" w:eastAsia="宋体"/>
                <w:b/>
                <w:bCs/>
                <w:color w:val="auto"/>
                <w:spacing w:val="6"/>
                <w:sz w:val="24"/>
                <w:szCs w:val="24"/>
                <w:highlight w:val="none"/>
              </w:rPr>
              <w:t>数量</w:t>
            </w:r>
          </w:p>
        </w:tc>
        <w:tc>
          <w:tcPr>
            <w:tcW w:w="2745" w:type="dxa"/>
            <w:vAlign w:val="center"/>
          </w:tcPr>
          <w:p w14:paraId="451AE2F4">
            <w:pPr>
              <w:jc w:val="center"/>
              <w:rPr>
                <w:rFonts w:ascii="Times New Roman" w:hAnsi="Times New Roman" w:eastAsia="宋体"/>
                <w:b/>
                <w:bCs/>
                <w:color w:val="auto"/>
                <w:spacing w:val="6"/>
                <w:sz w:val="24"/>
                <w:szCs w:val="24"/>
                <w:highlight w:val="none"/>
              </w:rPr>
            </w:pPr>
            <w:r>
              <w:rPr>
                <w:rFonts w:ascii="Times New Roman" w:hAnsi="Times New Roman" w:eastAsia="宋体"/>
                <w:b/>
                <w:bCs/>
                <w:color w:val="auto"/>
                <w:spacing w:val="6"/>
                <w:sz w:val="24"/>
                <w:szCs w:val="24"/>
                <w:highlight w:val="none"/>
              </w:rPr>
              <w:t>备注</w:t>
            </w:r>
          </w:p>
        </w:tc>
      </w:tr>
      <w:tr w14:paraId="58AE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9" w:type="dxa"/>
            <w:vAlign w:val="center"/>
          </w:tcPr>
          <w:p w14:paraId="757E75A3">
            <w:pPr>
              <w:jc w:val="center"/>
              <w:rPr>
                <w:rFonts w:ascii="Times New Roman" w:hAnsi="Times New Roman" w:eastAsia="宋体"/>
                <w:b/>
                <w:bCs/>
                <w:color w:val="auto"/>
                <w:spacing w:val="6"/>
                <w:sz w:val="24"/>
                <w:szCs w:val="24"/>
                <w:highlight w:val="none"/>
              </w:rPr>
            </w:pPr>
            <w:r>
              <w:rPr>
                <w:rFonts w:hint="eastAsia" w:ascii="Times New Roman" w:hAnsi="Times New Roman" w:eastAsia="宋体"/>
                <w:color w:val="auto"/>
                <w:spacing w:val="6"/>
                <w:sz w:val="24"/>
                <w:szCs w:val="24"/>
                <w:highlight w:val="none"/>
              </w:rPr>
              <w:t>1</w:t>
            </w:r>
          </w:p>
        </w:tc>
        <w:tc>
          <w:tcPr>
            <w:tcW w:w="4166" w:type="dxa"/>
            <w:vAlign w:val="center"/>
          </w:tcPr>
          <w:p w14:paraId="0F73D266">
            <w:pPr>
              <w:jc w:val="center"/>
              <w:rPr>
                <w:rFonts w:ascii="Times New Roman" w:hAnsi="Times New Roman" w:eastAsia="宋体"/>
                <w:b/>
                <w:bCs/>
                <w:color w:val="auto"/>
                <w:spacing w:val="6"/>
                <w:sz w:val="24"/>
                <w:szCs w:val="24"/>
                <w:highlight w:val="none"/>
              </w:rPr>
            </w:pPr>
            <w:r>
              <w:rPr>
                <w:rFonts w:hint="eastAsia" w:ascii="Times New Roman" w:hAnsi="Times New Roman" w:eastAsia="宋体" w:cs="宋体"/>
                <w:b w:val="0"/>
                <w:bCs w:val="0"/>
                <w:color w:val="auto"/>
                <w:spacing w:val="6"/>
                <w:sz w:val="24"/>
                <w:szCs w:val="24"/>
                <w:highlight w:val="none"/>
              </w:rPr>
              <w:t>设备简易3D数模</w:t>
            </w:r>
          </w:p>
        </w:tc>
        <w:tc>
          <w:tcPr>
            <w:tcW w:w="1236" w:type="dxa"/>
            <w:vAlign w:val="center"/>
          </w:tcPr>
          <w:p w14:paraId="695B40FC">
            <w:pPr>
              <w:jc w:val="center"/>
              <w:rPr>
                <w:rFonts w:ascii="Times New Roman" w:hAnsi="Times New Roman" w:eastAsia="宋体"/>
                <w:b/>
                <w:bCs/>
                <w:color w:val="auto"/>
                <w:spacing w:val="6"/>
                <w:sz w:val="24"/>
                <w:szCs w:val="24"/>
                <w:highlight w:val="none"/>
              </w:rPr>
            </w:pPr>
            <w:r>
              <w:rPr>
                <w:rFonts w:hint="eastAsia" w:ascii="Times New Roman" w:hAnsi="Times New Roman" w:eastAsia="宋体"/>
                <w:color w:val="auto"/>
                <w:spacing w:val="6"/>
                <w:sz w:val="24"/>
                <w:szCs w:val="24"/>
                <w:highlight w:val="none"/>
              </w:rPr>
              <w:t>1</w:t>
            </w:r>
            <w:r>
              <w:rPr>
                <w:rFonts w:ascii="Times New Roman" w:hAnsi="Times New Roman" w:eastAsia="宋体"/>
                <w:color w:val="auto"/>
                <w:spacing w:val="6"/>
                <w:sz w:val="24"/>
                <w:szCs w:val="24"/>
                <w:highlight w:val="none"/>
              </w:rPr>
              <w:t>份</w:t>
            </w:r>
          </w:p>
        </w:tc>
        <w:tc>
          <w:tcPr>
            <w:tcW w:w="2745" w:type="dxa"/>
            <w:vAlign w:val="center"/>
          </w:tcPr>
          <w:p w14:paraId="6CD8EAA5">
            <w:pPr>
              <w:jc w:val="center"/>
              <w:rPr>
                <w:rFonts w:ascii="Times New Roman" w:hAnsi="Times New Roman" w:eastAsia="宋体"/>
                <w:b/>
                <w:bCs/>
                <w:color w:val="auto"/>
                <w:spacing w:val="6"/>
                <w:sz w:val="24"/>
                <w:szCs w:val="24"/>
                <w:highlight w:val="none"/>
              </w:rPr>
            </w:pPr>
            <w:r>
              <w:rPr>
                <w:rFonts w:hint="eastAsia" w:ascii="Times New Roman" w:hAnsi="Times New Roman" w:eastAsia="宋体"/>
                <w:color w:val="auto"/>
                <w:spacing w:val="6"/>
                <w:sz w:val="24"/>
                <w:szCs w:val="24"/>
                <w:highlight w:val="none"/>
              </w:rPr>
              <w:t>随货提供</w:t>
            </w:r>
          </w:p>
        </w:tc>
      </w:tr>
      <w:tr w14:paraId="7D64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9" w:type="dxa"/>
            <w:vAlign w:val="center"/>
          </w:tcPr>
          <w:p w14:paraId="0A039D06">
            <w:pPr>
              <w:widowControl w:val="0"/>
              <w:kinsoku/>
              <w:autoSpaceDE/>
              <w:autoSpaceDN/>
              <w:spacing w:line="360" w:lineRule="auto"/>
              <w:jc w:val="center"/>
              <w:textAlignment w:val="auto"/>
              <w:rPr>
                <w:rFonts w:ascii="Times New Roman" w:hAnsi="Times New Roman" w:eastAsia="宋体"/>
                <w:color w:val="auto"/>
                <w:spacing w:val="6"/>
                <w:sz w:val="24"/>
                <w:szCs w:val="24"/>
                <w:highlight w:val="none"/>
              </w:rPr>
            </w:pPr>
            <w:r>
              <w:rPr>
                <w:rFonts w:hint="eastAsia" w:ascii="Times New Roman" w:hAnsi="Times New Roman" w:eastAsia="宋体"/>
                <w:color w:val="auto"/>
                <w:spacing w:val="6"/>
                <w:sz w:val="24"/>
                <w:szCs w:val="24"/>
                <w:highlight w:val="none"/>
              </w:rPr>
              <w:t>2</w:t>
            </w:r>
          </w:p>
        </w:tc>
        <w:tc>
          <w:tcPr>
            <w:tcW w:w="4166" w:type="dxa"/>
            <w:vAlign w:val="center"/>
          </w:tcPr>
          <w:p w14:paraId="47ABA9C6">
            <w:pPr>
              <w:jc w:val="center"/>
              <w:rPr>
                <w:rFonts w:ascii="Times New Roman" w:hAnsi="Times New Roman" w:eastAsia="宋体"/>
                <w:color w:val="auto"/>
                <w:spacing w:val="6"/>
                <w:sz w:val="24"/>
                <w:szCs w:val="24"/>
                <w:highlight w:val="none"/>
              </w:rPr>
            </w:pPr>
            <w:r>
              <w:rPr>
                <w:rFonts w:hint="eastAsia" w:ascii="Times New Roman" w:hAnsi="Times New Roman" w:eastAsia="宋体"/>
                <w:color w:val="auto"/>
                <w:spacing w:val="6"/>
                <w:sz w:val="24"/>
                <w:szCs w:val="24"/>
                <w:highlight w:val="none"/>
              </w:rPr>
              <w:t>设备</w:t>
            </w:r>
            <w:r>
              <w:rPr>
                <w:rFonts w:ascii="Times New Roman" w:hAnsi="Times New Roman" w:eastAsia="宋体"/>
                <w:color w:val="auto"/>
                <w:spacing w:val="6"/>
                <w:sz w:val="24"/>
                <w:szCs w:val="24"/>
                <w:highlight w:val="none"/>
              </w:rPr>
              <w:t>合格证</w:t>
            </w:r>
            <w:r>
              <w:rPr>
                <w:rFonts w:hint="eastAsia" w:ascii="Times New Roman" w:hAnsi="Times New Roman" w:eastAsia="宋体"/>
                <w:color w:val="auto"/>
                <w:spacing w:val="6"/>
                <w:sz w:val="24"/>
                <w:szCs w:val="24"/>
                <w:highlight w:val="none"/>
              </w:rPr>
              <w:t>（含</w:t>
            </w:r>
            <w:r>
              <w:rPr>
                <w:rFonts w:ascii="Times New Roman" w:hAnsi="Times New Roman" w:eastAsia="宋体"/>
                <w:color w:val="auto"/>
                <w:spacing w:val="6"/>
                <w:sz w:val="24"/>
                <w:szCs w:val="24"/>
                <w:highlight w:val="none"/>
              </w:rPr>
              <w:t>定位精度、几何精度验收表）</w:t>
            </w:r>
          </w:p>
        </w:tc>
        <w:tc>
          <w:tcPr>
            <w:tcW w:w="1236" w:type="dxa"/>
            <w:vAlign w:val="center"/>
          </w:tcPr>
          <w:p w14:paraId="1F9CEC6B">
            <w:pPr>
              <w:jc w:val="center"/>
              <w:rPr>
                <w:rFonts w:ascii="Times New Roman" w:hAnsi="Times New Roman" w:eastAsia="宋体"/>
                <w:color w:val="auto"/>
                <w:spacing w:val="6"/>
                <w:sz w:val="24"/>
                <w:szCs w:val="24"/>
                <w:highlight w:val="none"/>
              </w:rPr>
            </w:pPr>
            <w:r>
              <w:rPr>
                <w:rFonts w:hint="eastAsia" w:ascii="Times New Roman" w:hAnsi="Times New Roman" w:eastAsia="宋体"/>
                <w:color w:val="auto"/>
                <w:spacing w:val="6"/>
                <w:sz w:val="24"/>
                <w:szCs w:val="24"/>
                <w:highlight w:val="none"/>
              </w:rPr>
              <w:t>1</w:t>
            </w:r>
            <w:r>
              <w:rPr>
                <w:rFonts w:ascii="Times New Roman" w:hAnsi="Times New Roman" w:eastAsia="宋体"/>
                <w:color w:val="auto"/>
                <w:spacing w:val="6"/>
                <w:sz w:val="24"/>
                <w:szCs w:val="24"/>
                <w:highlight w:val="none"/>
              </w:rPr>
              <w:t>份</w:t>
            </w:r>
          </w:p>
        </w:tc>
        <w:tc>
          <w:tcPr>
            <w:tcW w:w="2745" w:type="dxa"/>
            <w:vAlign w:val="center"/>
          </w:tcPr>
          <w:p w14:paraId="62269664">
            <w:pPr>
              <w:jc w:val="center"/>
              <w:rPr>
                <w:rFonts w:ascii="Times New Roman" w:hAnsi="Times New Roman" w:eastAsia="宋体"/>
                <w:color w:val="auto"/>
                <w:spacing w:val="6"/>
                <w:sz w:val="24"/>
                <w:szCs w:val="24"/>
                <w:highlight w:val="none"/>
              </w:rPr>
            </w:pPr>
            <w:r>
              <w:rPr>
                <w:rFonts w:hint="eastAsia" w:ascii="Times New Roman" w:hAnsi="Times New Roman" w:eastAsia="宋体"/>
                <w:color w:val="auto"/>
                <w:spacing w:val="6"/>
                <w:sz w:val="24"/>
                <w:szCs w:val="24"/>
                <w:highlight w:val="none"/>
              </w:rPr>
              <w:t>随货提供</w:t>
            </w:r>
          </w:p>
        </w:tc>
      </w:tr>
      <w:tr w14:paraId="47B3B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9" w:type="dxa"/>
            <w:vAlign w:val="center"/>
          </w:tcPr>
          <w:p w14:paraId="10959DE9">
            <w:pPr>
              <w:widowControl w:val="0"/>
              <w:kinsoku/>
              <w:autoSpaceDE/>
              <w:autoSpaceDN/>
              <w:spacing w:line="360" w:lineRule="auto"/>
              <w:jc w:val="center"/>
              <w:textAlignment w:val="auto"/>
              <w:rPr>
                <w:rFonts w:ascii="Times New Roman" w:hAnsi="Times New Roman" w:eastAsia="宋体"/>
                <w:color w:val="auto"/>
                <w:spacing w:val="6"/>
                <w:sz w:val="24"/>
                <w:szCs w:val="24"/>
                <w:highlight w:val="none"/>
              </w:rPr>
            </w:pPr>
            <w:r>
              <w:rPr>
                <w:rFonts w:hint="eastAsia" w:ascii="Times New Roman" w:hAnsi="Times New Roman" w:eastAsia="宋体"/>
                <w:color w:val="auto"/>
                <w:spacing w:val="6"/>
                <w:sz w:val="24"/>
                <w:szCs w:val="24"/>
                <w:highlight w:val="none"/>
              </w:rPr>
              <w:t>3</w:t>
            </w:r>
          </w:p>
        </w:tc>
        <w:tc>
          <w:tcPr>
            <w:tcW w:w="4166" w:type="dxa"/>
            <w:vAlign w:val="center"/>
          </w:tcPr>
          <w:p w14:paraId="56D7BECC">
            <w:pPr>
              <w:jc w:val="center"/>
              <w:rPr>
                <w:rFonts w:ascii="Times New Roman" w:hAnsi="Times New Roman" w:eastAsia="宋体"/>
                <w:color w:val="auto"/>
                <w:spacing w:val="6"/>
                <w:sz w:val="24"/>
                <w:szCs w:val="24"/>
                <w:highlight w:val="none"/>
              </w:rPr>
            </w:pPr>
            <w:r>
              <w:rPr>
                <w:rFonts w:hint="eastAsia" w:ascii="Times New Roman" w:hAnsi="Times New Roman" w:eastAsia="宋体"/>
                <w:color w:val="auto"/>
                <w:spacing w:val="6"/>
                <w:sz w:val="24"/>
                <w:szCs w:val="24"/>
                <w:highlight w:val="none"/>
              </w:rPr>
              <w:t>设备</w:t>
            </w:r>
            <w:r>
              <w:rPr>
                <w:rFonts w:hint="eastAsia" w:ascii="Times New Roman" w:hAnsi="Times New Roman" w:eastAsia="宋体" w:cs="宋体"/>
                <w:color w:val="auto"/>
                <w:spacing w:val="6"/>
                <w:sz w:val="24"/>
                <w:szCs w:val="24"/>
                <w:highlight w:val="none"/>
              </w:rPr>
              <w:t>安全操作及</w:t>
            </w:r>
            <w:r>
              <w:rPr>
                <w:rFonts w:hint="eastAsia" w:ascii="Times New Roman" w:hAnsi="Times New Roman" w:eastAsia="宋体"/>
                <w:color w:val="auto"/>
                <w:spacing w:val="6"/>
                <w:sz w:val="24"/>
                <w:szCs w:val="24"/>
                <w:highlight w:val="none"/>
              </w:rPr>
              <w:t>使用维护</w:t>
            </w:r>
            <w:r>
              <w:rPr>
                <w:rFonts w:ascii="Times New Roman" w:hAnsi="Times New Roman" w:eastAsia="宋体"/>
                <w:color w:val="auto"/>
                <w:spacing w:val="6"/>
                <w:sz w:val="24"/>
                <w:szCs w:val="24"/>
                <w:highlight w:val="none"/>
              </w:rPr>
              <w:t>说明书</w:t>
            </w:r>
          </w:p>
        </w:tc>
        <w:tc>
          <w:tcPr>
            <w:tcW w:w="1236" w:type="dxa"/>
            <w:vAlign w:val="center"/>
          </w:tcPr>
          <w:p w14:paraId="2DBF7911">
            <w:pPr>
              <w:jc w:val="center"/>
              <w:rPr>
                <w:rFonts w:ascii="Times New Roman" w:hAnsi="Times New Roman" w:eastAsia="宋体"/>
                <w:color w:val="auto"/>
                <w:spacing w:val="6"/>
                <w:sz w:val="24"/>
                <w:szCs w:val="24"/>
                <w:highlight w:val="none"/>
              </w:rPr>
            </w:pPr>
            <w:r>
              <w:rPr>
                <w:rFonts w:ascii="Times New Roman" w:hAnsi="Times New Roman" w:eastAsia="宋体"/>
                <w:color w:val="auto"/>
                <w:spacing w:val="6"/>
                <w:sz w:val="24"/>
                <w:szCs w:val="24"/>
                <w:highlight w:val="none"/>
              </w:rPr>
              <w:t>1份</w:t>
            </w:r>
          </w:p>
        </w:tc>
        <w:tc>
          <w:tcPr>
            <w:tcW w:w="2745" w:type="dxa"/>
            <w:vAlign w:val="center"/>
          </w:tcPr>
          <w:p w14:paraId="25945CAA">
            <w:pPr>
              <w:jc w:val="center"/>
              <w:rPr>
                <w:rFonts w:ascii="Times New Roman" w:hAnsi="Times New Roman" w:eastAsia="宋体"/>
                <w:color w:val="auto"/>
                <w:spacing w:val="6"/>
                <w:sz w:val="24"/>
                <w:szCs w:val="24"/>
                <w:highlight w:val="none"/>
              </w:rPr>
            </w:pPr>
            <w:r>
              <w:rPr>
                <w:rFonts w:hint="eastAsia" w:ascii="Times New Roman" w:hAnsi="Times New Roman" w:eastAsia="宋体"/>
                <w:color w:val="auto"/>
                <w:spacing w:val="6"/>
                <w:sz w:val="24"/>
                <w:szCs w:val="24"/>
                <w:highlight w:val="none"/>
              </w:rPr>
              <w:t>随货提供</w:t>
            </w:r>
          </w:p>
        </w:tc>
      </w:tr>
      <w:tr w14:paraId="57DD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9" w:type="dxa"/>
            <w:vAlign w:val="center"/>
          </w:tcPr>
          <w:p w14:paraId="560FB2A4">
            <w:pPr>
              <w:widowControl w:val="0"/>
              <w:kinsoku/>
              <w:autoSpaceDE/>
              <w:autoSpaceDN/>
              <w:spacing w:line="360" w:lineRule="auto"/>
              <w:jc w:val="center"/>
              <w:textAlignment w:val="auto"/>
              <w:rPr>
                <w:rFonts w:ascii="Times New Roman" w:hAnsi="Times New Roman" w:eastAsia="宋体"/>
                <w:color w:val="auto"/>
                <w:spacing w:val="6"/>
                <w:sz w:val="24"/>
                <w:szCs w:val="24"/>
                <w:highlight w:val="none"/>
              </w:rPr>
            </w:pPr>
            <w:r>
              <w:rPr>
                <w:rFonts w:hint="eastAsia" w:ascii="Times New Roman" w:hAnsi="Times New Roman" w:eastAsia="宋体"/>
                <w:color w:val="auto"/>
                <w:spacing w:val="6"/>
                <w:sz w:val="24"/>
                <w:szCs w:val="24"/>
                <w:highlight w:val="none"/>
              </w:rPr>
              <w:t>4</w:t>
            </w:r>
          </w:p>
        </w:tc>
        <w:tc>
          <w:tcPr>
            <w:tcW w:w="4166" w:type="dxa"/>
            <w:vAlign w:val="center"/>
          </w:tcPr>
          <w:p w14:paraId="33452CFF">
            <w:pPr>
              <w:jc w:val="center"/>
              <w:rPr>
                <w:rFonts w:ascii="Times New Roman" w:hAnsi="Times New Roman" w:eastAsia="宋体"/>
                <w:color w:val="auto"/>
                <w:spacing w:val="6"/>
                <w:sz w:val="24"/>
                <w:szCs w:val="24"/>
                <w:highlight w:val="none"/>
              </w:rPr>
            </w:pPr>
            <w:r>
              <w:rPr>
                <w:rFonts w:hint="eastAsia" w:ascii="Times New Roman" w:hAnsi="Times New Roman" w:eastAsia="宋体" w:cs="宋体"/>
                <w:color w:val="auto"/>
                <w:spacing w:val="6"/>
                <w:sz w:val="24"/>
                <w:highlight w:val="none"/>
              </w:rPr>
              <w:t>电气、</w:t>
            </w:r>
            <w:r>
              <w:rPr>
                <w:rFonts w:ascii="Times New Roman" w:hAnsi="Times New Roman" w:eastAsia="宋体"/>
                <w:color w:val="auto"/>
                <w:spacing w:val="6"/>
                <w:sz w:val="24"/>
                <w:highlight w:val="none"/>
              </w:rPr>
              <w:t>润滑系统原理图</w:t>
            </w:r>
            <w:r>
              <w:rPr>
                <w:rFonts w:hint="eastAsia" w:ascii="Times New Roman" w:hAnsi="Times New Roman" w:eastAsia="宋体" w:cs="宋体"/>
                <w:color w:val="auto"/>
                <w:spacing w:val="6"/>
                <w:sz w:val="24"/>
                <w:highlight w:val="none"/>
              </w:rPr>
              <w:t>、</w:t>
            </w:r>
          </w:p>
        </w:tc>
        <w:tc>
          <w:tcPr>
            <w:tcW w:w="1236" w:type="dxa"/>
            <w:vAlign w:val="center"/>
          </w:tcPr>
          <w:p w14:paraId="7FDC104B">
            <w:pPr>
              <w:jc w:val="center"/>
              <w:rPr>
                <w:rFonts w:ascii="Times New Roman" w:hAnsi="Times New Roman" w:eastAsia="宋体"/>
                <w:color w:val="auto"/>
                <w:spacing w:val="6"/>
                <w:sz w:val="24"/>
                <w:szCs w:val="24"/>
                <w:highlight w:val="none"/>
              </w:rPr>
            </w:pPr>
            <w:r>
              <w:rPr>
                <w:rFonts w:ascii="Times New Roman" w:hAnsi="Times New Roman" w:eastAsia="宋体"/>
                <w:color w:val="auto"/>
                <w:spacing w:val="6"/>
                <w:sz w:val="24"/>
                <w:highlight w:val="none"/>
              </w:rPr>
              <w:t>1份</w:t>
            </w:r>
          </w:p>
        </w:tc>
        <w:tc>
          <w:tcPr>
            <w:tcW w:w="2745" w:type="dxa"/>
            <w:vAlign w:val="center"/>
          </w:tcPr>
          <w:p w14:paraId="386A0F66">
            <w:pPr>
              <w:jc w:val="center"/>
              <w:rPr>
                <w:rFonts w:ascii="Times New Roman" w:hAnsi="Times New Roman" w:eastAsia="宋体"/>
                <w:color w:val="auto"/>
                <w:spacing w:val="6"/>
                <w:sz w:val="24"/>
                <w:szCs w:val="24"/>
                <w:highlight w:val="none"/>
              </w:rPr>
            </w:pPr>
            <w:r>
              <w:rPr>
                <w:rFonts w:ascii="Times New Roman" w:hAnsi="Times New Roman" w:eastAsia="宋体"/>
                <w:color w:val="auto"/>
                <w:spacing w:val="6"/>
                <w:sz w:val="24"/>
                <w:highlight w:val="none"/>
              </w:rPr>
              <w:t>随货提供</w:t>
            </w:r>
          </w:p>
        </w:tc>
      </w:tr>
      <w:tr w14:paraId="6E22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9" w:type="dxa"/>
            <w:vAlign w:val="center"/>
          </w:tcPr>
          <w:p w14:paraId="548B109C">
            <w:pPr>
              <w:widowControl w:val="0"/>
              <w:kinsoku/>
              <w:autoSpaceDE/>
              <w:autoSpaceDN/>
              <w:spacing w:line="360" w:lineRule="auto"/>
              <w:jc w:val="center"/>
              <w:textAlignment w:val="auto"/>
              <w:rPr>
                <w:rFonts w:ascii="Times New Roman" w:hAnsi="Times New Roman" w:eastAsia="宋体"/>
                <w:color w:val="auto"/>
                <w:spacing w:val="6"/>
                <w:sz w:val="24"/>
                <w:szCs w:val="24"/>
                <w:highlight w:val="none"/>
              </w:rPr>
            </w:pPr>
            <w:r>
              <w:rPr>
                <w:rFonts w:hint="eastAsia" w:ascii="Times New Roman" w:hAnsi="Times New Roman" w:eastAsia="宋体"/>
                <w:color w:val="auto"/>
                <w:spacing w:val="6"/>
                <w:sz w:val="24"/>
                <w:szCs w:val="24"/>
                <w:highlight w:val="none"/>
              </w:rPr>
              <w:t>5</w:t>
            </w:r>
          </w:p>
        </w:tc>
        <w:tc>
          <w:tcPr>
            <w:tcW w:w="4166" w:type="dxa"/>
            <w:vAlign w:val="center"/>
          </w:tcPr>
          <w:p w14:paraId="76090723">
            <w:pPr>
              <w:jc w:val="center"/>
              <w:rPr>
                <w:rFonts w:ascii="Times New Roman" w:hAnsi="Times New Roman" w:eastAsia="宋体"/>
                <w:color w:val="auto"/>
                <w:spacing w:val="6"/>
                <w:sz w:val="24"/>
                <w:szCs w:val="24"/>
                <w:highlight w:val="none"/>
              </w:rPr>
            </w:pPr>
            <w:r>
              <w:rPr>
                <w:rFonts w:hint="eastAsia" w:ascii="Times New Roman" w:hAnsi="Times New Roman" w:eastAsia="宋体"/>
                <w:color w:val="auto"/>
                <w:spacing w:val="6"/>
                <w:sz w:val="24"/>
                <w:szCs w:val="24"/>
                <w:highlight w:val="none"/>
              </w:rPr>
              <w:t>总装图</w:t>
            </w:r>
          </w:p>
        </w:tc>
        <w:tc>
          <w:tcPr>
            <w:tcW w:w="1236" w:type="dxa"/>
            <w:vAlign w:val="center"/>
          </w:tcPr>
          <w:p w14:paraId="5363BB15">
            <w:pPr>
              <w:jc w:val="center"/>
              <w:rPr>
                <w:rFonts w:ascii="Times New Roman" w:hAnsi="Times New Roman" w:eastAsia="宋体"/>
                <w:color w:val="auto"/>
                <w:spacing w:val="6"/>
                <w:sz w:val="24"/>
                <w:szCs w:val="24"/>
                <w:highlight w:val="none"/>
              </w:rPr>
            </w:pPr>
            <w:r>
              <w:rPr>
                <w:rFonts w:ascii="Times New Roman" w:hAnsi="Times New Roman" w:eastAsia="宋体"/>
                <w:color w:val="auto"/>
                <w:spacing w:val="6"/>
                <w:sz w:val="24"/>
                <w:szCs w:val="24"/>
                <w:highlight w:val="none"/>
              </w:rPr>
              <w:t>1份</w:t>
            </w:r>
          </w:p>
        </w:tc>
        <w:tc>
          <w:tcPr>
            <w:tcW w:w="2745" w:type="dxa"/>
            <w:vAlign w:val="center"/>
          </w:tcPr>
          <w:p w14:paraId="340CE7BA">
            <w:pPr>
              <w:jc w:val="center"/>
              <w:rPr>
                <w:rFonts w:ascii="Times New Roman" w:hAnsi="Times New Roman" w:eastAsia="宋体"/>
                <w:color w:val="auto"/>
                <w:spacing w:val="6"/>
                <w:sz w:val="24"/>
                <w:szCs w:val="24"/>
                <w:highlight w:val="none"/>
              </w:rPr>
            </w:pPr>
            <w:r>
              <w:rPr>
                <w:rFonts w:hint="eastAsia" w:ascii="Times New Roman" w:hAnsi="Times New Roman" w:eastAsia="宋体"/>
                <w:color w:val="auto"/>
                <w:spacing w:val="6"/>
                <w:sz w:val="24"/>
                <w:szCs w:val="24"/>
                <w:highlight w:val="none"/>
              </w:rPr>
              <w:t>随货提供</w:t>
            </w:r>
          </w:p>
        </w:tc>
      </w:tr>
      <w:tr w14:paraId="0536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9" w:type="dxa"/>
            <w:vAlign w:val="center"/>
          </w:tcPr>
          <w:p w14:paraId="3ED126EF">
            <w:pPr>
              <w:widowControl w:val="0"/>
              <w:kinsoku/>
              <w:autoSpaceDE/>
              <w:autoSpaceDN/>
              <w:spacing w:line="360" w:lineRule="auto"/>
              <w:jc w:val="center"/>
              <w:textAlignment w:val="auto"/>
              <w:rPr>
                <w:rFonts w:ascii="Times New Roman" w:hAnsi="Times New Roman" w:eastAsia="宋体"/>
                <w:color w:val="auto"/>
                <w:spacing w:val="6"/>
                <w:sz w:val="24"/>
                <w:szCs w:val="24"/>
                <w:highlight w:val="none"/>
              </w:rPr>
            </w:pPr>
            <w:r>
              <w:rPr>
                <w:rFonts w:hint="eastAsia" w:ascii="Times New Roman" w:hAnsi="Times New Roman" w:eastAsia="宋体"/>
                <w:color w:val="auto"/>
                <w:spacing w:val="6"/>
                <w:sz w:val="24"/>
                <w:szCs w:val="24"/>
                <w:highlight w:val="none"/>
              </w:rPr>
              <w:t>6</w:t>
            </w:r>
          </w:p>
        </w:tc>
        <w:tc>
          <w:tcPr>
            <w:tcW w:w="4166" w:type="dxa"/>
            <w:vAlign w:val="center"/>
          </w:tcPr>
          <w:p w14:paraId="78CF71C4">
            <w:pPr>
              <w:jc w:val="center"/>
              <w:rPr>
                <w:rFonts w:ascii="Times New Roman" w:hAnsi="Times New Roman" w:eastAsia="宋体"/>
                <w:color w:val="auto"/>
                <w:spacing w:val="6"/>
                <w:sz w:val="24"/>
                <w:szCs w:val="24"/>
                <w:highlight w:val="none"/>
              </w:rPr>
            </w:pPr>
            <w:r>
              <w:rPr>
                <w:rFonts w:ascii="Times New Roman" w:hAnsi="Times New Roman" w:eastAsia="宋体"/>
                <w:color w:val="auto"/>
                <w:spacing w:val="6"/>
                <w:sz w:val="24"/>
                <w:szCs w:val="24"/>
                <w:highlight w:val="none"/>
              </w:rPr>
              <w:t>布局图</w:t>
            </w:r>
          </w:p>
        </w:tc>
        <w:tc>
          <w:tcPr>
            <w:tcW w:w="1236" w:type="dxa"/>
            <w:vAlign w:val="center"/>
          </w:tcPr>
          <w:p w14:paraId="494C6F54">
            <w:pPr>
              <w:jc w:val="center"/>
              <w:rPr>
                <w:rFonts w:ascii="Times New Roman" w:hAnsi="Times New Roman" w:eastAsia="宋体"/>
                <w:color w:val="auto"/>
                <w:spacing w:val="6"/>
                <w:sz w:val="24"/>
                <w:szCs w:val="24"/>
                <w:highlight w:val="none"/>
              </w:rPr>
            </w:pPr>
            <w:r>
              <w:rPr>
                <w:rFonts w:ascii="Times New Roman" w:hAnsi="Times New Roman" w:eastAsia="宋体"/>
                <w:color w:val="auto"/>
                <w:spacing w:val="6"/>
                <w:sz w:val="24"/>
                <w:szCs w:val="24"/>
                <w:highlight w:val="none"/>
              </w:rPr>
              <w:t>1份</w:t>
            </w:r>
          </w:p>
        </w:tc>
        <w:tc>
          <w:tcPr>
            <w:tcW w:w="2745" w:type="dxa"/>
            <w:vAlign w:val="center"/>
          </w:tcPr>
          <w:p w14:paraId="1457BE90">
            <w:pPr>
              <w:pStyle w:val="24"/>
              <w:kinsoku w:val="0"/>
              <w:overflowPunct w:val="0"/>
              <w:jc w:val="center"/>
              <w:rPr>
                <w:rFonts w:eastAsia="宋体"/>
                <w:highlight w:val="none"/>
              </w:rPr>
            </w:pPr>
            <w:r>
              <w:rPr>
                <w:rFonts w:hint="eastAsia" w:eastAsia="宋体" w:cs="宋体"/>
                <w:spacing w:val="12"/>
                <w:highlight w:val="none"/>
              </w:rPr>
              <w:t>合同生效</w:t>
            </w:r>
            <w:r>
              <w:rPr>
                <w:rFonts w:hint="eastAsia" w:eastAsia="宋体"/>
                <w:highlight w:val="none"/>
              </w:rPr>
              <w:t>10日</w:t>
            </w:r>
            <w:r>
              <w:rPr>
                <w:rFonts w:hint="eastAsia" w:eastAsia="宋体" w:cs="宋体"/>
                <w:spacing w:val="12"/>
                <w:highlight w:val="none"/>
              </w:rPr>
              <w:t>内提供</w:t>
            </w:r>
          </w:p>
        </w:tc>
      </w:tr>
      <w:tr w14:paraId="3436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9" w:type="dxa"/>
            <w:vAlign w:val="center"/>
          </w:tcPr>
          <w:p w14:paraId="1041A553">
            <w:pPr>
              <w:widowControl w:val="0"/>
              <w:kinsoku/>
              <w:autoSpaceDE/>
              <w:autoSpaceDN/>
              <w:spacing w:line="360" w:lineRule="auto"/>
              <w:jc w:val="center"/>
              <w:textAlignment w:val="auto"/>
              <w:rPr>
                <w:rFonts w:ascii="Times New Roman" w:hAnsi="Times New Roman" w:eastAsia="宋体"/>
                <w:color w:val="auto"/>
                <w:spacing w:val="6"/>
                <w:sz w:val="24"/>
                <w:szCs w:val="24"/>
                <w:highlight w:val="none"/>
              </w:rPr>
            </w:pPr>
            <w:r>
              <w:rPr>
                <w:rFonts w:hint="eastAsia" w:ascii="Times New Roman" w:hAnsi="Times New Roman" w:eastAsia="宋体"/>
                <w:color w:val="auto"/>
                <w:spacing w:val="6"/>
                <w:sz w:val="24"/>
                <w:szCs w:val="24"/>
                <w:highlight w:val="none"/>
              </w:rPr>
              <w:t>7</w:t>
            </w:r>
          </w:p>
        </w:tc>
        <w:tc>
          <w:tcPr>
            <w:tcW w:w="4166" w:type="dxa"/>
            <w:vAlign w:val="center"/>
          </w:tcPr>
          <w:p w14:paraId="41701767">
            <w:pPr>
              <w:jc w:val="center"/>
              <w:rPr>
                <w:rFonts w:ascii="Times New Roman" w:hAnsi="Times New Roman" w:eastAsia="宋体"/>
                <w:color w:val="auto"/>
                <w:spacing w:val="6"/>
                <w:sz w:val="24"/>
                <w:szCs w:val="24"/>
                <w:highlight w:val="none"/>
              </w:rPr>
            </w:pPr>
            <w:r>
              <w:rPr>
                <w:rFonts w:hint="eastAsia" w:ascii="Times New Roman" w:hAnsi="Times New Roman" w:eastAsia="宋体"/>
                <w:color w:val="auto"/>
                <w:spacing w:val="6"/>
                <w:sz w:val="24"/>
                <w:szCs w:val="24"/>
                <w:highlight w:val="none"/>
              </w:rPr>
              <w:t>地基图</w:t>
            </w:r>
          </w:p>
        </w:tc>
        <w:tc>
          <w:tcPr>
            <w:tcW w:w="1236" w:type="dxa"/>
            <w:vAlign w:val="center"/>
          </w:tcPr>
          <w:p w14:paraId="043E9161">
            <w:pPr>
              <w:jc w:val="center"/>
              <w:rPr>
                <w:rFonts w:ascii="Times New Roman" w:hAnsi="Times New Roman" w:eastAsia="宋体"/>
                <w:color w:val="auto"/>
                <w:spacing w:val="6"/>
                <w:sz w:val="24"/>
                <w:szCs w:val="24"/>
                <w:highlight w:val="none"/>
              </w:rPr>
            </w:pPr>
            <w:r>
              <w:rPr>
                <w:rFonts w:ascii="Times New Roman" w:hAnsi="Times New Roman" w:eastAsia="宋体"/>
                <w:color w:val="auto"/>
                <w:spacing w:val="6"/>
                <w:sz w:val="24"/>
                <w:szCs w:val="24"/>
                <w:highlight w:val="none"/>
              </w:rPr>
              <w:t>1份</w:t>
            </w:r>
          </w:p>
        </w:tc>
        <w:tc>
          <w:tcPr>
            <w:tcW w:w="2745" w:type="dxa"/>
            <w:vAlign w:val="center"/>
          </w:tcPr>
          <w:p w14:paraId="6F5BEA3C">
            <w:pPr>
              <w:pStyle w:val="24"/>
              <w:kinsoku w:val="0"/>
              <w:overflowPunct w:val="0"/>
              <w:jc w:val="center"/>
              <w:rPr>
                <w:rFonts w:eastAsia="宋体"/>
                <w:highlight w:val="none"/>
              </w:rPr>
            </w:pPr>
            <w:r>
              <w:rPr>
                <w:rFonts w:hint="eastAsia" w:eastAsia="宋体" w:cs="宋体"/>
                <w:spacing w:val="12"/>
                <w:highlight w:val="none"/>
              </w:rPr>
              <w:t>合同生效</w:t>
            </w:r>
            <w:r>
              <w:rPr>
                <w:rFonts w:hint="eastAsia" w:eastAsia="宋体"/>
                <w:highlight w:val="none"/>
              </w:rPr>
              <w:t>10日</w:t>
            </w:r>
            <w:r>
              <w:rPr>
                <w:rFonts w:hint="eastAsia" w:eastAsia="宋体" w:cs="宋体"/>
                <w:spacing w:val="12"/>
                <w:highlight w:val="none"/>
              </w:rPr>
              <w:t>内提供</w:t>
            </w:r>
          </w:p>
        </w:tc>
      </w:tr>
      <w:tr w14:paraId="5DF6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9" w:type="dxa"/>
            <w:vAlign w:val="center"/>
          </w:tcPr>
          <w:p w14:paraId="17010DDF">
            <w:pPr>
              <w:widowControl w:val="0"/>
              <w:kinsoku/>
              <w:autoSpaceDE/>
              <w:autoSpaceDN/>
              <w:spacing w:line="360" w:lineRule="auto"/>
              <w:jc w:val="center"/>
              <w:textAlignment w:val="auto"/>
              <w:rPr>
                <w:rFonts w:ascii="Times New Roman" w:hAnsi="Times New Roman" w:eastAsia="宋体"/>
                <w:color w:val="auto"/>
                <w:spacing w:val="6"/>
                <w:sz w:val="24"/>
                <w:szCs w:val="24"/>
                <w:highlight w:val="none"/>
              </w:rPr>
            </w:pPr>
            <w:r>
              <w:rPr>
                <w:rFonts w:hint="eastAsia" w:ascii="Times New Roman" w:hAnsi="Times New Roman" w:eastAsia="宋体"/>
                <w:color w:val="auto"/>
                <w:spacing w:val="6"/>
                <w:sz w:val="24"/>
                <w:szCs w:val="24"/>
                <w:highlight w:val="none"/>
              </w:rPr>
              <w:t>8</w:t>
            </w:r>
          </w:p>
        </w:tc>
        <w:tc>
          <w:tcPr>
            <w:tcW w:w="4166" w:type="dxa"/>
            <w:vAlign w:val="center"/>
          </w:tcPr>
          <w:p w14:paraId="1E7DD577">
            <w:pPr>
              <w:jc w:val="center"/>
              <w:rPr>
                <w:rFonts w:ascii="Times New Roman" w:hAnsi="Times New Roman" w:eastAsia="宋体"/>
                <w:color w:val="auto"/>
                <w:spacing w:val="6"/>
                <w:sz w:val="24"/>
                <w:szCs w:val="24"/>
                <w:highlight w:val="none"/>
              </w:rPr>
            </w:pPr>
            <w:r>
              <w:rPr>
                <w:rFonts w:hint="eastAsia" w:ascii="Times New Roman" w:hAnsi="Times New Roman" w:eastAsia="宋体"/>
                <w:color w:val="auto"/>
                <w:spacing w:val="6"/>
                <w:sz w:val="24"/>
                <w:szCs w:val="24"/>
                <w:highlight w:val="none"/>
              </w:rPr>
              <w:t>随机附件</w:t>
            </w:r>
            <w:r>
              <w:rPr>
                <w:rFonts w:ascii="Times New Roman" w:hAnsi="Times New Roman" w:eastAsia="宋体"/>
                <w:color w:val="auto"/>
                <w:spacing w:val="6"/>
                <w:sz w:val="24"/>
                <w:szCs w:val="24"/>
                <w:highlight w:val="none"/>
              </w:rPr>
              <w:t>清单</w:t>
            </w:r>
          </w:p>
        </w:tc>
        <w:tc>
          <w:tcPr>
            <w:tcW w:w="1236" w:type="dxa"/>
            <w:vAlign w:val="center"/>
          </w:tcPr>
          <w:p w14:paraId="5C730B93">
            <w:pPr>
              <w:jc w:val="center"/>
              <w:rPr>
                <w:rFonts w:ascii="Times New Roman" w:hAnsi="Times New Roman" w:eastAsia="宋体"/>
                <w:color w:val="auto"/>
                <w:spacing w:val="6"/>
                <w:sz w:val="24"/>
                <w:szCs w:val="24"/>
                <w:highlight w:val="none"/>
              </w:rPr>
            </w:pPr>
            <w:r>
              <w:rPr>
                <w:rFonts w:ascii="Times New Roman" w:hAnsi="Times New Roman" w:eastAsia="宋体"/>
                <w:color w:val="auto"/>
                <w:spacing w:val="6"/>
                <w:sz w:val="24"/>
                <w:szCs w:val="24"/>
                <w:highlight w:val="none"/>
              </w:rPr>
              <w:t>1份</w:t>
            </w:r>
          </w:p>
        </w:tc>
        <w:tc>
          <w:tcPr>
            <w:tcW w:w="2745" w:type="dxa"/>
            <w:vAlign w:val="center"/>
          </w:tcPr>
          <w:p w14:paraId="448FDBF8">
            <w:pPr>
              <w:pStyle w:val="24"/>
              <w:kinsoku w:val="0"/>
              <w:overflowPunct w:val="0"/>
              <w:jc w:val="center"/>
              <w:rPr>
                <w:rFonts w:eastAsia="宋体"/>
                <w:highlight w:val="none"/>
              </w:rPr>
            </w:pPr>
            <w:r>
              <w:rPr>
                <w:rFonts w:hint="eastAsia" w:eastAsia="宋体" w:cs="宋体"/>
                <w:spacing w:val="12"/>
                <w:highlight w:val="none"/>
              </w:rPr>
              <w:t>随货提供</w:t>
            </w:r>
          </w:p>
        </w:tc>
      </w:tr>
      <w:tr w14:paraId="44A9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9" w:type="dxa"/>
            <w:vAlign w:val="center"/>
          </w:tcPr>
          <w:p w14:paraId="59EDCFC9">
            <w:pPr>
              <w:widowControl w:val="0"/>
              <w:kinsoku/>
              <w:autoSpaceDE/>
              <w:autoSpaceDN/>
              <w:spacing w:line="360" w:lineRule="auto"/>
              <w:jc w:val="center"/>
              <w:textAlignment w:val="auto"/>
              <w:rPr>
                <w:rFonts w:ascii="Times New Roman" w:hAnsi="Times New Roman" w:eastAsia="宋体"/>
                <w:color w:val="auto"/>
                <w:spacing w:val="6"/>
                <w:sz w:val="24"/>
                <w:szCs w:val="24"/>
                <w:highlight w:val="none"/>
              </w:rPr>
            </w:pPr>
            <w:r>
              <w:rPr>
                <w:rFonts w:hint="eastAsia" w:ascii="Times New Roman" w:hAnsi="Times New Roman" w:eastAsia="宋体"/>
                <w:color w:val="auto"/>
                <w:spacing w:val="6"/>
                <w:sz w:val="24"/>
                <w:szCs w:val="24"/>
                <w:highlight w:val="none"/>
              </w:rPr>
              <w:t>9</w:t>
            </w:r>
          </w:p>
        </w:tc>
        <w:tc>
          <w:tcPr>
            <w:tcW w:w="4166" w:type="dxa"/>
            <w:vAlign w:val="center"/>
          </w:tcPr>
          <w:p w14:paraId="13493142">
            <w:pPr>
              <w:jc w:val="center"/>
              <w:rPr>
                <w:rFonts w:ascii="Times New Roman" w:hAnsi="Times New Roman" w:eastAsia="宋体"/>
                <w:color w:val="auto"/>
                <w:spacing w:val="6"/>
                <w:sz w:val="24"/>
                <w:szCs w:val="24"/>
                <w:highlight w:val="none"/>
              </w:rPr>
            </w:pPr>
            <w:r>
              <w:rPr>
                <w:rFonts w:hint="eastAsia" w:ascii="Times New Roman" w:hAnsi="Times New Roman" w:eastAsia="宋体"/>
                <w:color w:val="auto"/>
                <w:spacing w:val="6"/>
                <w:sz w:val="24"/>
                <w:szCs w:val="24"/>
                <w:highlight w:val="none"/>
              </w:rPr>
              <w:t>备品备件清单</w:t>
            </w:r>
          </w:p>
        </w:tc>
        <w:tc>
          <w:tcPr>
            <w:tcW w:w="1236" w:type="dxa"/>
            <w:vAlign w:val="center"/>
          </w:tcPr>
          <w:p w14:paraId="79F35F47">
            <w:pPr>
              <w:jc w:val="center"/>
              <w:rPr>
                <w:rFonts w:ascii="Times New Roman" w:hAnsi="Times New Roman" w:eastAsia="宋体"/>
                <w:color w:val="auto"/>
                <w:spacing w:val="6"/>
                <w:sz w:val="24"/>
                <w:szCs w:val="24"/>
                <w:highlight w:val="none"/>
              </w:rPr>
            </w:pPr>
            <w:r>
              <w:rPr>
                <w:rFonts w:ascii="Times New Roman" w:hAnsi="Times New Roman" w:eastAsia="宋体"/>
                <w:color w:val="auto"/>
                <w:spacing w:val="6"/>
                <w:sz w:val="24"/>
                <w:szCs w:val="24"/>
                <w:highlight w:val="none"/>
              </w:rPr>
              <w:t>1</w:t>
            </w:r>
            <w:r>
              <w:rPr>
                <w:rFonts w:hint="eastAsia" w:ascii="Times New Roman" w:hAnsi="Times New Roman" w:eastAsia="宋体"/>
                <w:color w:val="auto"/>
                <w:spacing w:val="6"/>
                <w:sz w:val="24"/>
                <w:szCs w:val="24"/>
                <w:highlight w:val="none"/>
              </w:rPr>
              <w:t>份</w:t>
            </w:r>
          </w:p>
        </w:tc>
        <w:tc>
          <w:tcPr>
            <w:tcW w:w="2745" w:type="dxa"/>
            <w:vAlign w:val="center"/>
          </w:tcPr>
          <w:p w14:paraId="089B30BD">
            <w:pPr>
              <w:pStyle w:val="24"/>
              <w:kinsoku w:val="0"/>
              <w:overflowPunct w:val="0"/>
              <w:jc w:val="center"/>
              <w:rPr>
                <w:rFonts w:eastAsia="宋体"/>
                <w:highlight w:val="none"/>
              </w:rPr>
            </w:pPr>
            <w:r>
              <w:rPr>
                <w:rFonts w:hint="eastAsia" w:eastAsia="宋体" w:cs="宋体"/>
                <w:spacing w:val="12"/>
                <w:highlight w:val="none"/>
              </w:rPr>
              <w:t>随货提供</w:t>
            </w:r>
          </w:p>
        </w:tc>
      </w:tr>
      <w:tr w14:paraId="5219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9" w:type="dxa"/>
            <w:vAlign w:val="center"/>
          </w:tcPr>
          <w:p w14:paraId="367613BF">
            <w:pPr>
              <w:widowControl w:val="0"/>
              <w:kinsoku/>
              <w:autoSpaceDE/>
              <w:autoSpaceDN/>
              <w:spacing w:line="360" w:lineRule="auto"/>
              <w:jc w:val="center"/>
              <w:textAlignment w:val="auto"/>
              <w:rPr>
                <w:rFonts w:ascii="Times New Roman" w:hAnsi="Times New Roman" w:eastAsia="宋体"/>
                <w:color w:val="auto"/>
                <w:spacing w:val="6"/>
                <w:sz w:val="24"/>
                <w:szCs w:val="24"/>
                <w:highlight w:val="none"/>
              </w:rPr>
            </w:pPr>
            <w:r>
              <w:rPr>
                <w:rFonts w:hint="eastAsia" w:ascii="Times New Roman" w:hAnsi="Times New Roman" w:eastAsia="宋体"/>
                <w:color w:val="auto"/>
                <w:spacing w:val="6"/>
                <w:sz w:val="24"/>
                <w:szCs w:val="24"/>
                <w:highlight w:val="none"/>
              </w:rPr>
              <w:t>10</w:t>
            </w:r>
          </w:p>
        </w:tc>
        <w:tc>
          <w:tcPr>
            <w:tcW w:w="4166" w:type="dxa"/>
            <w:vAlign w:val="center"/>
          </w:tcPr>
          <w:p w14:paraId="6AE05AD4">
            <w:pPr>
              <w:jc w:val="center"/>
              <w:rPr>
                <w:rFonts w:ascii="Times New Roman" w:hAnsi="Times New Roman" w:eastAsia="宋体"/>
                <w:color w:val="auto"/>
                <w:spacing w:val="6"/>
                <w:sz w:val="24"/>
                <w:szCs w:val="24"/>
                <w:highlight w:val="none"/>
              </w:rPr>
            </w:pPr>
            <w:r>
              <w:rPr>
                <w:rFonts w:hint="eastAsia" w:ascii="Times New Roman" w:hAnsi="Times New Roman" w:eastAsia="宋体"/>
                <w:color w:val="auto"/>
                <w:spacing w:val="6"/>
                <w:sz w:val="24"/>
                <w:szCs w:val="24"/>
                <w:highlight w:val="none"/>
              </w:rPr>
              <w:t>专用</w:t>
            </w:r>
            <w:r>
              <w:rPr>
                <w:rFonts w:ascii="Times New Roman" w:hAnsi="Times New Roman" w:eastAsia="宋体"/>
                <w:color w:val="auto"/>
                <w:spacing w:val="6"/>
                <w:sz w:val="24"/>
                <w:szCs w:val="24"/>
                <w:highlight w:val="none"/>
              </w:rPr>
              <w:t>工具清单</w:t>
            </w:r>
          </w:p>
        </w:tc>
        <w:tc>
          <w:tcPr>
            <w:tcW w:w="1236" w:type="dxa"/>
            <w:vAlign w:val="center"/>
          </w:tcPr>
          <w:p w14:paraId="3C096C0E">
            <w:pPr>
              <w:jc w:val="center"/>
              <w:rPr>
                <w:rFonts w:ascii="Times New Roman" w:hAnsi="Times New Roman" w:eastAsia="宋体"/>
                <w:color w:val="auto"/>
                <w:spacing w:val="6"/>
                <w:sz w:val="24"/>
                <w:szCs w:val="24"/>
                <w:highlight w:val="none"/>
              </w:rPr>
            </w:pPr>
            <w:r>
              <w:rPr>
                <w:rFonts w:ascii="Times New Roman" w:hAnsi="Times New Roman" w:eastAsia="宋体"/>
                <w:color w:val="auto"/>
                <w:spacing w:val="6"/>
                <w:sz w:val="24"/>
                <w:szCs w:val="24"/>
                <w:highlight w:val="none"/>
              </w:rPr>
              <w:t>1份</w:t>
            </w:r>
          </w:p>
        </w:tc>
        <w:tc>
          <w:tcPr>
            <w:tcW w:w="2745" w:type="dxa"/>
            <w:vAlign w:val="center"/>
          </w:tcPr>
          <w:p w14:paraId="5083246F">
            <w:pPr>
              <w:pStyle w:val="24"/>
              <w:kinsoku w:val="0"/>
              <w:overflowPunct w:val="0"/>
              <w:jc w:val="center"/>
              <w:rPr>
                <w:rFonts w:eastAsia="宋体"/>
                <w:highlight w:val="none"/>
              </w:rPr>
            </w:pPr>
            <w:r>
              <w:rPr>
                <w:rFonts w:hint="eastAsia" w:eastAsia="宋体" w:cs="宋体"/>
                <w:spacing w:val="12"/>
                <w:highlight w:val="none"/>
              </w:rPr>
              <w:t>随货提供</w:t>
            </w:r>
          </w:p>
        </w:tc>
      </w:tr>
      <w:tr w14:paraId="0C8B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9" w:type="dxa"/>
            <w:vAlign w:val="center"/>
          </w:tcPr>
          <w:p w14:paraId="3BCA7543">
            <w:pPr>
              <w:widowControl w:val="0"/>
              <w:kinsoku/>
              <w:autoSpaceDE/>
              <w:autoSpaceDN/>
              <w:spacing w:line="360" w:lineRule="auto"/>
              <w:jc w:val="center"/>
              <w:textAlignment w:val="auto"/>
              <w:rPr>
                <w:rFonts w:ascii="Times New Roman" w:hAnsi="Times New Roman" w:eastAsia="宋体"/>
                <w:color w:val="auto"/>
                <w:spacing w:val="6"/>
                <w:sz w:val="24"/>
                <w:szCs w:val="24"/>
                <w:highlight w:val="none"/>
              </w:rPr>
            </w:pPr>
            <w:r>
              <w:rPr>
                <w:rFonts w:hint="eastAsia" w:ascii="Times New Roman" w:hAnsi="Times New Roman" w:eastAsia="宋体"/>
                <w:color w:val="auto"/>
                <w:spacing w:val="6"/>
                <w:sz w:val="24"/>
                <w:szCs w:val="24"/>
                <w:highlight w:val="none"/>
              </w:rPr>
              <w:t>11</w:t>
            </w:r>
          </w:p>
        </w:tc>
        <w:tc>
          <w:tcPr>
            <w:tcW w:w="4166" w:type="dxa"/>
            <w:vAlign w:val="center"/>
          </w:tcPr>
          <w:p w14:paraId="610171D7">
            <w:pPr>
              <w:jc w:val="center"/>
              <w:rPr>
                <w:rFonts w:ascii="Times New Roman" w:hAnsi="Times New Roman" w:eastAsia="宋体"/>
                <w:color w:val="auto"/>
                <w:spacing w:val="6"/>
                <w:sz w:val="24"/>
                <w:szCs w:val="24"/>
                <w:highlight w:val="none"/>
              </w:rPr>
            </w:pPr>
            <w:r>
              <w:rPr>
                <w:rFonts w:ascii="Times New Roman" w:hAnsi="Times New Roman" w:eastAsia="宋体"/>
                <w:color w:val="auto"/>
                <w:spacing w:val="6"/>
                <w:sz w:val="24"/>
                <w:szCs w:val="24"/>
                <w:highlight w:val="none"/>
              </w:rPr>
              <w:t>上述文件电子文档光盘</w:t>
            </w:r>
          </w:p>
        </w:tc>
        <w:tc>
          <w:tcPr>
            <w:tcW w:w="1236" w:type="dxa"/>
            <w:vAlign w:val="center"/>
          </w:tcPr>
          <w:p w14:paraId="0F793188">
            <w:pPr>
              <w:jc w:val="center"/>
              <w:rPr>
                <w:rFonts w:ascii="Times New Roman" w:hAnsi="Times New Roman" w:eastAsia="宋体"/>
                <w:color w:val="auto"/>
                <w:spacing w:val="6"/>
                <w:sz w:val="24"/>
                <w:szCs w:val="24"/>
                <w:highlight w:val="none"/>
              </w:rPr>
            </w:pPr>
            <w:r>
              <w:rPr>
                <w:rFonts w:ascii="Times New Roman" w:hAnsi="Times New Roman" w:eastAsia="宋体"/>
                <w:color w:val="auto"/>
                <w:spacing w:val="6"/>
                <w:sz w:val="24"/>
                <w:szCs w:val="24"/>
                <w:highlight w:val="none"/>
              </w:rPr>
              <w:t>1份</w:t>
            </w:r>
          </w:p>
        </w:tc>
        <w:tc>
          <w:tcPr>
            <w:tcW w:w="2745" w:type="dxa"/>
            <w:vAlign w:val="center"/>
          </w:tcPr>
          <w:p w14:paraId="376DDB84">
            <w:pPr>
              <w:pStyle w:val="24"/>
              <w:kinsoku w:val="0"/>
              <w:overflowPunct w:val="0"/>
              <w:jc w:val="center"/>
              <w:rPr>
                <w:rFonts w:eastAsia="宋体" w:cs="宋体"/>
                <w:spacing w:val="12"/>
                <w:highlight w:val="none"/>
              </w:rPr>
            </w:pPr>
            <w:r>
              <w:rPr>
                <w:rFonts w:hint="eastAsia" w:eastAsia="宋体" w:cs="宋体"/>
                <w:spacing w:val="12"/>
                <w:highlight w:val="none"/>
              </w:rPr>
              <w:t>随货提供</w:t>
            </w:r>
          </w:p>
        </w:tc>
      </w:tr>
    </w:tbl>
    <w:p w14:paraId="25AFF947">
      <w:pPr>
        <w:pStyle w:val="2"/>
        <w:rPr>
          <w:rFonts w:hint="eastAsia"/>
          <w:highlight w:val="none"/>
          <w:lang w:val="en-US" w:eastAsia="zh-CN"/>
        </w:rPr>
      </w:pPr>
    </w:p>
    <w:p w14:paraId="52DE6B92">
      <w:pPr>
        <w:pStyle w:val="2"/>
        <w:bidi w:val="0"/>
        <w:ind w:left="0" w:leftChars="0" w:firstLine="0" w:firstLineChars="0"/>
        <w:rPr>
          <w:rFonts w:hint="eastAsia"/>
          <w:b/>
          <w:bCs/>
          <w:highlight w:val="none"/>
          <w:lang w:val="en-US" w:eastAsia="zh-CN"/>
        </w:rPr>
      </w:pPr>
      <w:r>
        <w:rPr>
          <w:rFonts w:hint="eastAsia"/>
          <w:b/>
          <w:bCs/>
          <w:highlight w:val="none"/>
          <w:lang w:val="en-US" w:eastAsia="zh-CN"/>
        </w:rPr>
        <w:t>三、随机附件</w:t>
      </w:r>
    </w:p>
    <w:p w14:paraId="16467199">
      <w:pPr>
        <w:pStyle w:val="21"/>
        <w:widowControl w:val="0"/>
        <w:numPr>
          <w:ilvl w:val="0"/>
          <w:numId w:val="1"/>
        </w:numPr>
        <w:kinsoku/>
        <w:spacing w:line="360" w:lineRule="auto"/>
        <w:ind w:firstLineChars="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垫铁及地脚螺栓等安装用辅件1套；</w:t>
      </w:r>
    </w:p>
    <w:p w14:paraId="6C4ED708">
      <w:pPr>
        <w:pStyle w:val="21"/>
        <w:widowControl w:val="0"/>
        <w:numPr>
          <w:ilvl w:val="0"/>
          <w:numId w:val="1"/>
        </w:numPr>
        <w:kinsoku/>
        <w:spacing w:line="360" w:lineRule="auto"/>
        <w:ind w:firstLineChars="0"/>
        <w:rPr>
          <w:rFonts w:ascii="Times New Roman" w:hAnsi="Times New Roman" w:eastAsia="宋体" w:cs="宋体"/>
          <w:color w:val="auto"/>
          <w:sz w:val="24"/>
        </w:rPr>
      </w:pPr>
      <w:r>
        <w:rPr>
          <w:rFonts w:hint="eastAsia" w:ascii="Times New Roman" w:hAnsi="Times New Roman" w:eastAsia="宋体" w:cs="宋体"/>
          <w:color w:val="auto"/>
          <w:sz w:val="24"/>
        </w:rPr>
        <w:t>紧固螺钉5个；</w:t>
      </w:r>
    </w:p>
    <w:p w14:paraId="4C8F242F">
      <w:pPr>
        <w:pStyle w:val="21"/>
        <w:widowControl w:val="0"/>
        <w:numPr>
          <w:ilvl w:val="0"/>
          <w:numId w:val="1"/>
        </w:numPr>
        <w:kinsoku/>
        <w:spacing w:line="360" w:lineRule="auto"/>
        <w:ind w:firstLineChars="0"/>
        <w:rPr>
          <w:rFonts w:ascii="Times New Roman" w:hAnsi="Times New Roman" w:eastAsia="宋体" w:cs="宋体"/>
          <w:color w:val="auto"/>
          <w:sz w:val="24"/>
        </w:rPr>
      </w:pPr>
      <w:r>
        <w:rPr>
          <w:rFonts w:ascii="Times New Roman" w:hAnsi="Times New Roman" w:eastAsia="宋体" w:cs="宋体"/>
          <w:color w:val="auto"/>
          <w:sz w:val="24"/>
        </w:rPr>
        <w:t>万向节螺钉</w:t>
      </w:r>
      <w:r>
        <w:rPr>
          <w:rFonts w:hint="eastAsia" w:ascii="Times New Roman" w:hAnsi="Times New Roman" w:eastAsia="宋体" w:cs="宋体"/>
          <w:color w:val="auto"/>
          <w:sz w:val="24"/>
        </w:rPr>
        <w:t>10个；</w:t>
      </w:r>
    </w:p>
    <w:p w14:paraId="5D4D36A7">
      <w:pPr>
        <w:pStyle w:val="21"/>
        <w:widowControl w:val="0"/>
        <w:numPr>
          <w:ilvl w:val="0"/>
          <w:numId w:val="1"/>
        </w:numPr>
        <w:kinsoku/>
        <w:spacing w:line="360" w:lineRule="auto"/>
        <w:ind w:firstLineChars="0"/>
        <w:rPr>
          <w:rFonts w:ascii="Times New Roman" w:hAnsi="Times New Roman" w:eastAsia="宋体" w:cs="宋体"/>
          <w:color w:val="auto"/>
          <w:sz w:val="24"/>
        </w:rPr>
      </w:pPr>
      <w:r>
        <w:rPr>
          <w:rFonts w:hint="eastAsia" w:ascii="Times New Roman" w:hAnsi="Times New Roman" w:eastAsia="宋体" w:cs="宋体"/>
          <w:color w:val="auto"/>
          <w:sz w:val="24"/>
        </w:rPr>
        <w:t>倾角仪1个；</w:t>
      </w:r>
    </w:p>
    <w:p w14:paraId="514B0700">
      <w:pPr>
        <w:pStyle w:val="21"/>
        <w:widowControl w:val="0"/>
        <w:numPr>
          <w:ilvl w:val="0"/>
          <w:numId w:val="1"/>
        </w:numPr>
        <w:kinsoku/>
        <w:spacing w:line="360" w:lineRule="auto"/>
        <w:ind w:firstLineChars="0"/>
        <w:rPr>
          <w:rFonts w:ascii="Times New Roman" w:hAnsi="Times New Roman" w:eastAsia="宋体" w:cs="宋体"/>
          <w:color w:val="auto"/>
          <w:sz w:val="24"/>
        </w:rPr>
      </w:pPr>
      <w:r>
        <w:rPr>
          <w:rFonts w:hint="eastAsia" w:ascii="Times New Roman" w:hAnsi="Times New Roman" w:eastAsia="宋体" w:cs="宋体"/>
          <w:color w:val="auto"/>
          <w:sz w:val="24"/>
        </w:rPr>
        <w:t>BT50刀柄（与搅拌工具接口为Ø20）1个；</w:t>
      </w:r>
    </w:p>
    <w:p w14:paraId="1F7A1AC2">
      <w:pPr>
        <w:pStyle w:val="21"/>
        <w:widowControl w:val="0"/>
        <w:numPr>
          <w:ilvl w:val="0"/>
          <w:numId w:val="1"/>
        </w:numPr>
        <w:kinsoku/>
        <w:spacing w:line="360" w:lineRule="auto"/>
        <w:ind w:firstLineChars="0"/>
        <w:rPr>
          <w:rFonts w:ascii="Times New Roman" w:hAnsi="Times New Roman" w:eastAsia="宋体" w:cs="宋体"/>
          <w:color w:val="auto"/>
          <w:sz w:val="24"/>
        </w:rPr>
      </w:pPr>
      <w:r>
        <w:rPr>
          <w:rFonts w:hint="eastAsia" w:ascii="Times New Roman" w:hAnsi="Times New Roman" w:eastAsia="宋体" w:cs="宋体"/>
          <w:color w:val="auto"/>
          <w:sz w:val="24"/>
        </w:rPr>
        <w:t>BT50刀柄（与搅拌工具接口为Ø40）1个；</w:t>
      </w:r>
    </w:p>
    <w:p w14:paraId="53446CB3">
      <w:pPr>
        <w:pStyle w:val="21"/>
        <w:widowControl w:val="0"/>
        <w:numPr>
          <w:ilvl w:val="0"/>
          <w:numId w:val="1"/>
        </w:numPr>
        <w:kinsoku/>
        <w:spacing w:line="360" w:lineRule="auto"/>
        <w:ind w:firstLineChars="0"/>
        <w:rPr>
          <w:rFonts w:ascii="Times New Roman" w:hAnsi="Times New Roman" w:eastAsia="宋体" w:cs="宋体"/>
          <w:color w:val="auto"/>
          <w:sz w:val="24"/>
        </w:rPr>
      </w:pPr>
      <w:r>
        <w:rPr>
          <w:rFonts w:hint="eastAsia" w:ascii="Times New Roman" w:hAnsi="Times New Roman" w:eastAsia="宋体" w:cs="宋体"/>
          <w:color w:val="auto"/>
          <w:sz w:val="24"/>
        </w:rPr>
        <w:t>Ø40转Ø20转接套3个；</w:t>
      </w:r>
    </w:p>
    <w:p w14:paraId="43000EEF">
      <w:pPr>
        <w:pStyle w:val="21"/>
        <w:widowControl w:val="0"/>
        <w:numPr>
          <w:ilvl w:val="0"/>
          <w:numId w:val="1"/>
        </w:numPr>
        <w:kinsoku/>
        <w:spacing w:line="360" w:lineRule="auto"/>
        <w:ind w:firstLineChars="0"/>
        <w:rPr>
          <w:rFonts w:ascii="Times New Roman" w:hAnsi="Times New Roman" w:eastAsia="宋体" w:cs="宋体"/>
          <w:color w:val="auto"/>
          <w:sz w:val="24"/>
        </w:rPr>
      </w:pPr>
      <w:r>
        <w:rPr>
          <w:rFonts w:hint="eastAsia" w:ascii="Times New Roman" w:hAnsi="Times New Roman" w:eastAsia="宋体" w:cs="宋体"/>
          <w:color w:val="auto"/>
          <w:sz w:val="24"/>
        </w:rPr>
        <w:t>8）3mm、5mm、10mm、15mm、20mm、25mm、30mm搅拌工具各3个；</w:t>
      </w:r>
    </w:p>
    <w:p w14:paraId="35FC7F3D">
      <w:pPr>
        <w:pStyle w:val="21"/>
        <w:widowControl w:val="0"/>
        <w:numPr>
          <w:ilvl w:val="0"/>
          <w:numId w:val="1"/>
        </w:numPr>
        <w:kinsoku/>
        <w:spacing w:line="360" w:lineRule="auto"/>
        <w:ind w:firstLineChars="0"/>
        <w:rPr>
          <w:rFonts w:ascii="Times New Roman" w:hAnsi="Times New Roman" w:eastAsia="宋体" w:cs="宋体"/>
          <w:color w:val="auto"/>
          <w:sz w:val="24"/>
        </w:rPr>
      </w:pPr>
      <w:r>
        <w:rPr>
          <w:rFonts w:hint="eastAsia" w:ascii="Times New Roman" w:hAnsi="Times New Roman" w:eastAsia="宋体" w:cs="宋体"/>
          <w:color w:val="auto"/>
          <w:sz w:val="24"/>
        </w:rPr>
        <w:t>静止轴肩搅拌工具系统1套；</w:t>
      </w:r>
    </w:p>
    <w:p w14:paraId="15CC048B">
      <w:pPr>
        <w:pStyle w:val="21"/>
        <w:widowControl w:val="0"/>
        <w:numPr>
          <w:ilvl w:val="0"/>
          <w:numId w:val="1"/>
        </w:numPr>
        <w:kinsoku/>
        <w:spacing w:line="360" w:lineRule="auto"/>
        <w:ind w:firstLineChars="0"/>
        <w:rPr>
          <w:rFonts w:ascii="Times New Roman" w:hAnsi="Times New Roman" w:eastAsia="宋体" w:cs="宋体"/>
          <w:color w:val="auto"/>
          <w:sz w:val="24"/>
        </w:rPr>
      </w:pPr>
      <w:r>
        <w:rPr>
          <w:rFonts w:hint="eastAsia" w:ascii="Times New Roman" w:hAnsi="Times New Roman" w:eastAsia="宋体" w:cs="宋体"/>
          <w:color w:val="auto"/>
          <w:sz w:val="24"/>
        </w:rPr>
        <w:t>西门子手轮1套（如是有线长度5m）。</w:t>
      </w:r>
    </w:p>
    <w:p w14:paraId="6DF4B64C">
      <w:pPr>
        <w:pStyle w:val="2"/>
        <w:numPr>
          <w:ilvl w:val="0"/>
          <w:numId w:val="0"/>
        </w:numPr>
        <w:rPr>
          <w:rFonts w:hint="default"/>
          <w:lang w:val="en-US" w:eastAsia="zh-CN"/>
        </w:rPr>
      </w:pPr>
    </w:p>
    <w:p w14:paraId="752F769E">
      <w:pPr>
        <w:pStyle w:val="2"/>
        <w:rPr>
          <w:rFonts w:hint="eastAsia"/>
        </w:rPr>
      </w:pPr>
    </w:p>
    <w:p w14:paraId="044B0935">
      <w:pPr>
        <w:pStyle w:val="2"/>
        <w:rPr>
          <w:rFonts w:hint="eastAsia"/>
        </w:rPr>
      </w:pPr>
    </w:p>
    <w:p w14:paraId="01B3A9E7">
      <w:pPr>
        <w:spacing w:before="240" w:beforeLines="100" w:line="360" w:lineRule="auto"/>
        <w:jc w:val="both"/>
        <w:outlineLvl w:val="0"/>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附件：商务要求</w:t>
      </w:r>
      <w:bookmarkEnd w:id="4"/>
    </w:p>
    <w:p w14:paraId="6B4E90F6">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1、设备交付、安装调试与验收</w:t>
      </w:r>
    </w:p>
    <w:p w14:paraId="016A413E">
      <w:pPr>
        <w:widowControl w:val="0"/>
        <w:kinsoku/>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交货时间为合同签订后内，交货地点为福建省三明市沙县区创新东路4</w:t>
      </w:r>
      <w:r>
        <w:rPr>
          <w:rFonts w:ascii="宋体" w:hAnsi="宋体" w:eastAsia="宋体" w:cs="宋体"/>
          <w:color w:val="auto"/>
          <w:sz w:val="24"/>
          <w:szCs w:val="24"/>
          <w:highlight w:val="none"/>
        </w:rPr>
        <w:t>13</w:t>
      </w:r>
      <w:r>
        <w:rPr>
          <w:rFonts w:hint="eastAsia" w:ascii="宋体" w:hAnsi="宋体" w:eastAsia="宋体" w:cs="宋体"/>
          <w:color w:val="auto"/>
          <w:sz w:val="24"/>
          <w:szCs w:val="24"/>
          <w:highlight w:val="none"/>
        </w:rPr>
        <w:t>号。</w:t>
      </w:r>
    </w:p>
    <w:p w14:paraId="5B012D92">
      <w:pPr>
        <w:widowControl w:val="0"/>
        <w:kinsoku/>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卖方负责设备在买方工厂安装调试。到货后7天内完成安装调试，通知甲方终验收，验收收所用的专用工具、量具由卖方自备。</w:t>
      </w:r>
    </w:p>
    <w:p w14:paraId="759BD707">
      <w:pPr>
        <w:widowControl w:val="0"/>
        <w:kinsoku/>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投标文件中要写明供货期及安装、调试直至完成终验收所需用的时间。</w:t>
      </w:r>
    </w:p>
    <w:p w14:paraId="5DB18582">
      <w:pPr>
        <w:widowControl w:val="0"/>
        <w:kinsoku/>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使用现场安装后进行验收，由买方组织进行，卖方代表参加。设备验收时按合同设备技术文件涉及的所有内容逐一检验。重点做好以下检验：</w:t>
      </w:r>
    </w:p>
    <w:p w14:paraId="1FAB02B7">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.4.1</w:t>
      </w:r>
      <w:r>
        <w:rPr>
          <w:rFonts w:hint="eastAsia" w:ascii="宋体" w:hAnsi="宋体" w:eastAsia="宋体" w:cs="宋体"/>
          <w:sz w:val="24"/>
          <w:szCs w:val="24"/>
        </w:rPr>
        <w:t>外观质量、规格型号、附件和工具。</w:t>
      </w:r>
    </w:p>
    <w:p w14:paraId="57E86608">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.4.2</w:t>
      </w:r>
      <w:r>
        <w:rPr>
          <w:rFonts w:hint="eastAsia" w:ascii="宋体" w:hAnsi="宋体" w:eastAsia="宋体" w:cs="宋体"/>
          <w:sz w:val="24"/>
          <w:szCs w:val="24"/>
          <w:highlight w:val="none"/>
        </w:rPr>
        <w:t>关键零部件的检验。</w:t>
      </w:r>
    </w:p>
    <w:p w14:paraId="09F60F44">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.4.3</w:t>
      </w:r>
      <w:r>
        <w:rPr>
          <w:rFonts w:hint="eastAsia" w:ascii="宋体" w:hAnsi="宋体" w:eastAsia="宋体" w:cs="宋体"/>
          <w:sz w:val="24"/>
          <w:szCs w:val="24"/>
          <w:highlight w:val="none"/>
        </w:rPr>
        <w:t>参数检验：对合同设备主要技术参数进行检验。</w:t>
      </w:r>
    </w:p>
    <w:p w14:paraId="6B3B7498">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.4.4</w:t>
      </w:r>
      <w:r>
        <w:rPr>
          <w:rFonts w:hint="eastAsia" w:ascii="宋体" w:hAnsi="宋体" w:eastAsia="宋体" w:cs="宋体"/>
          <w:sz w:val="24"/>
          <w:szCs w:val="24"/>
          <w:highlight w:val="none"/>
        </w:rPr>
        <w:t>精度检验：重点检验几何精度、定位精度、重复定位精度。几何精度按原厂出厂检测标准及国家标准。</w:t>
      </w:r>
    </w:p>
    <w:p w14:paraId="6E7291E3">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.4.5</w:t>
      </w:r>
      <w:r>
        <w:rPr>
          <w:rFonts w:hint="eastAsia" w:ascii="宋体" w:hAnsi="宋体" w:eastAsia="宋体" w:cs="宋体"/>
          <w:sz w:val="24"/>
          <w:szCs w:val="24"/>
          <w:highlight w:val="none"/>
        </w:rPr>
        <w:t>技术资料清点。</w:t>
      </w:r>
    </w:p>
    <w:p w14:paraId="1AD7237D">
      <w:pPr>
        <w:widowControl w:val="0"/>
        <w:kinsoku/>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ascii="宋体" w:hAnsi="宋体" w:eastAsia="宋体" w:cs="宋体"/>
          <w:sz w:val="24"/>
          <w:szCs w:val="24"/>
          <w:highlight w:val="none"/>
        </w:rPr>
        <w:t>.4.6</w:t>
      </w:r>
      <w:r>
        <w:rPr>
          <w:rFonts w:hint="eastAsia" w:ascii="宋体" w:hAnsi="宋体" w:eastAsia="宋体" w:cs="宋体"/>
          <w:sz w:val="24"/>
          <w:szCs w:val="24"/>
          <w:highlight w:val="none"/>
          <w:lang w:val="en-US" w:eastAsia="zh-CN"/>
        </w:rPr>
        <w:t>设备预验收，终验收，相关验收条款，后期双方协商确认。验收务必包含焊接能力的验收。</w:t>
      </w:r>
      <w:r>
        <w:rPr>
          <w:rFonts w:hint="eastAsia" w:ascii="宋体" w:hAnsi="宋体" w:eastAsia="宋体" w:cs="宋体"/>
          <w:sz w:val="24"/>
          <w:szCs w:val="24"/>
          <w:highlight w:val="none"/>
        </w:rPr>
        <w:t>验收时若有不满足要求的情况，卖方需负全部责任。</w:t>
      </w:r>
    </w:p>
    <w:p w14:paraId="6CA44D56">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.5</w:t>
      </w:r>
      <w:r>
        <w:rPr>
          <w:rFonts w:hint="eastAsia" w:ascii="宋体" w:hAnsi="宋体" w:eastAsia="宋体" w:cs="宋体"/>
          <w:sz w:val="24"/>
          <w:szCs w:val="24"/>
          <w:highlight w:val="none"/>
        </w:rPr>
        <w:t>卖方负责买方相关人员的培训，包括并不限于操作、编程、安全、保养、维护等内容。</w:t>
      </w:r>
    </w:p>
    <w:p w14:paraId="795A1249">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1.6付款方式：</w:t>
      </w:r>
    </w:p>
    <w:p w14:paraId="5BF1D1C6">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银行转账或者银承电子承兑</w:t>
      </w:r>
      <w:r>
        <w:rPr>
          <w:rFonts w:hint="eastAsia" w:ascii="宋体" w:hAnsi="宋体" w:eastAsia="宋体" w:cs="宋体"/>
          <w:sz w:val="24"/>
          <w:szCs w:val="24"/>
          <w:highlight w:val="none"/>
        </w:rPr>
        <w:t>汇票；</w:t>
      </w:r>
    </w:p>
    <w:p w14:paraId="33FD2F43">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（2）合同签订后付第一笔款30%；</w:t>
      </w:r>
    </w:p>
    <w:p w14:paraId="6B06244E">
      <w:pPr>
        <w:widowControl w:val="0"/>
        <w:kinsoku/>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）产品按照甲方要求</w:t>
      </w:r>
      <w:r>
        <w:rPr>
          <w:rFonts w:hint="eastAsia" w:ascii="宋体" w:hAnsi="宋体" w:eastAsia="宋体" w:cs="宋体"/>
          <w:sz w:val="24"/>
          <w:szCs w:val="24"/>
          <w:highlight w:val="none"/>
          <w:lang w:val="en-US" w:eastAsia="zh-CN"/>
        </w:rPr>
        <w:t>生产</w:t>
      </w:r>
      <w:r>
        <w:rPr>
          <w:rFonts w:hint="eastAsia" w:ascii="宋体" w:hAnsi="宋体" w:eastAsia="宋体" w:cs="宋体"/>
          <w:sz w:val="24"/>
          <w:szCs w:val="24"/>
          <w:highlight w:val="none"/>
        </w:rPr>
        <w:t>完毕</w:t>
      </w:r>
      <w:r>
        <w:rPr>
          <w:rFonts w:hint="eastAsia" w:ascii="宋体" w:hAnsi="宋体" w:eastAsia="宋体" w:cs="宋体"/>
          <w:sz w:val="24"/>
          <w:szCs w:val="24"/>
          <w:highlight w:val="none"/>
          <w:lang w:val="en-US" w:eastAsia="zh-CN"/>
        </w:rPr>
        <w:t>具备发货条件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通知</w:t>
      </w:r>
      <w:r>
        <w:rPr>
          <w:rFonts w:hint="eastAsia" w:ascii="宋体" w:hAnsi="宋体" w:eastAsia="宋体" w:cs="宋体"/>
          <w:sz w:val="24"/>
          <w:szCs w:val="24"/>
          <w:highlight w:val="none"/>
        </w:rPr>
        <w:t>甲方支付第</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笔款</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0%；</w:t>
      </w:r>
    </w:p>
    <w:p w14:paraId="2F000B00">
      <w:pPr>
        <w:pStyle w:val="2"/>
        <w:ind w:left="0" w:leftChars="0" w:firstLine="0" w:firstLineChars="0"/>
        <w:rPr>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产品交付使用，甲</w:t>
      </w:r>
      <w:r>
        <w:rPr>
          <w:rFonts w:hint="eastAsia" w:ascii="宋体" w:hAnsi="宋体" w:eastAsia="宋体" w:cs="宋体"/>
          <w:sz w:val="24"/>
          <w:szCs w:val="24"/>
          <w:highlight w:val="none"/>
        </w:rPr>
        <w:t>方组织</w:t>
      </w:r>
      <w:r>
        <w:rPr>
          <w:rFonts w:hint="eastAsia" w:ascii="宋体" w:hAnsi="宋体" w:eastAsia="宋体" w:cs="宋体"/>
          <w:sz w:val="24"/>
          <w:szCs w:val="24"/>
          <w:highlight w:val="none"/>
          <w:lang w:val="en-US" w:eastAsia="zh-CN"/>
        </w:rPr>
        <w:t>终验收</w:t>
      </w:r>
      <w:r>
        <w:rPr>
          <w:rFonts w:hint="eastAsia" w:ascii="宋体" w:hAnsi="宋体" w:eastAsia="宋体" w:cs="宋体"/>
          <w:sz w:val="24"/>
          <w:szCs w:val="24"/>
          <w:highlight w:val="none"/>
        </w:rPr>
        <w:t>，技术指标达到合同规定要求，且经甲方确认后，甲方付第</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笔款</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w:t>
      </w:r>
    </w:p>
    <w:p w14:paraId="0B36DC02">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（5）剩余</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%转为质保金，在验收合格后一年后无质量问题一次性支付（无息）。</w:t>
      </w:r>
    </w:p>
    <w:p w14:paraId="02C467BE">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2、售后服务</w:t>
      </w:r>
    </w:p>
    <w:p w14:paraId="6B903438">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1</w:t>
      </w:r>
      <w:r>
        <w:rPr>
          <w:rFonts w:hint="eastAsia" w:ascii="宋体" w:hAnsi="宋体" w:eastAsia="宋体" w:cs="宋体"/>
          <w:sz w:val="24"/>
          <w:szCs w:val="24"/>
          <w:highlight w:val="none"/>
        </w:rPr>
        <w:t>质保期为终验收合格之日起一年。</w:t>
      </w:r>
    </w:p>
    <w:p w14:paraId="0025532D">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2</w:t>
      </w:r>
      <w:r>
        <w:rPr>
          <w:rFonts w:hint="eastAsia" w:ascii="宋体" w:hAnsi="宋体" w:eastAsia="宋体" w:cs="宋体"/>
          <w:sz w:val="24"/>
          <w:szCs w:val="24"/>
          <w:highlight w:val="none"/>
        </w:rPr>
        <w:t>在质保期内，若因机床故障造成停工，卖方应在</w:t>
      </w:r>
      <w:r>
        <w:rPr>
          <w:rFonts w:ascii="宋体" w:hAnsi="宋体" w:eastAsia="宋体" w:cs="宋体"/>
          <w:sz w:val="24"/>
          <w:szCs w:val="24"/>
          <w:highlight w:val="none"/>
        </w:rPr>
        <w:t>4</w:t>
      </w:r>
      <w:r>
        <w:rPr>
          <w:rFonts w:hint="eastAsia" w:ascii="宋体" w:hAnsi="宋体" w:eastAsia="宋体" w:cs="宋体"/>
          <w:sz w:val="24"/>
          <w:szCs w:val="24"/>
          <w:highlight w:val="none"/>
        </w:rPr>
        <w:t>小时内进行答复，</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小时内到达用户现场。</w:t>
      </w:r>
    </w:p>
    <w:p w14:paraId="729FA5B8">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3</w:t>
      </w:r>
      <w:r>
        <w:rPr>
          <w:rFonts w:hint="eastAsia" w:ascii="宋体" w:hAnsi="宋体" w:eastAsia="宋体" w:cs="宋体"/>
          <w:sz w:val="24"/>
          <w:szCs w:val="24"/>
        </w:rPr>
        <w:t>卖方应明确提出设备运行所需的配套风、水、气、电等设施及相应条件，如动力电源、空气压力和用量以及供给口等具体要求。</w:t>
      </w:r>
    </w:p>
    <w:p w14:paraId="4D424C9A">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4</w:t>
      </w:r>
      <w:r>
        <w:rPr>
          <w:rFonts w:hint="eastAsia" w:ascii="宋体" w:hAnsi="宋体" w:eastAsia="宋体" w:cs="宋体"/>
          <w:sz w:val="24"/>
          <w:szCs w:val="24"/>
        </w:rPr>
        <w:t>卖方应保证用户方在使用卖方提供的货物或其任何一部分时不受第三方提出侵犯专利权、商标权或工业设计权的指控。如果有第三方提出侵权指控，卖方须与第三方交涉并承担可能发生的一切法律责任和费用。</w:t>
      </w:r>
    </w:p>
    <w:p w14:paraId="169D6262">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3、其他要求</w:t>
      </w:r>
    </w:p>
    <w:p w14:paraId="7C288544">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.1</w:t>
      </w:r>
      <w:r>
        <w:rPr>
          <w:rFonts w:hint="eastAsia" w:ascii="宋体" w:hAnsi="宋体" w:eastAsia="宋体" w:cs="宋体"/>
          <w:sz w:val="24"/>
          <w:szCs w:val="24"/>
        </w:rPr>
        <w:t>投标方应对以上条款进行逐条响应，完全响应注明“</w:t>
      </w:r>
      <w:r>
        <w:rPr>
          <w:rFonts w:hint="eastAsia" w:ascii="宋体" w:hAnsi="宋体" w:eastAsia="宋体" w:cs="宋体"/>
          <w:b/>
          <w:sz w:val="24"/>
          <w:szCs w:val="24"/>
        </w:rPr>
        <w:t>符合</w:t>
      </w:r>
      <w:r>
        <w:rPr>
          <w:rFonts w:hint="eastAsia" w:ascii="宋体" w:hAnsi="宋体" w:eastAsia="宋体" w:cs="宋体"/>
          <w:sz w:val="24"/>
          <w:szCs w:val="24"/>
        </w:rPr>
        <w:t>”，如有偏离须注明“</w:t>
      </w:r>
      <w:r>
        <w:rPr>
          <w:rFonts w:hint="eastAsia" w:ascii="宋体" w:hAnsi="宋体" w:eastAsia="宋体" w:cs="宋体"/>
          <w:b/>
          <w:sz w:val="24"/>
          <w:szCs w:val="24"/>
        </w:rPr>
        <w:t>偏离</w:t>
      </w:r>
      <w:r>
        <w:rPr>
          <w:rFonts w:hint="eastAsia" w:ascii="宋体" w:hAnsi="宋体" w:eastAsia="宋体" w:cs="宋体"/>
          <w:sz w:val="24"/>
          <w:szCs w:val="24"/>
        </w:rPr>
        <w:t>”并描述偏离内容，是“</w:t>
      </w:r>
      <w:r>
        <w:rPr>
          <w:rFonts w:hint="eastAsia" w:ascii="宋体" w:hAnsi="宋体" w:eastAsia="宋体" w:cs="宋体"/>
          <w:b/>
          <w:sz w:val="24"/>
          <w:szCs w:val="24"/>
        </w:rPr>
        <w:t>优于</w:t>
      </w:r>
      <w:r>
        <w:rPr>
          <w:rFonts w:hint="eastAsia" w:ascii="宋体" w:hAnsi="宋体" w:eastAsia="宋体" w:cs="宋体"/>
          <w:sz w:val="24"/>
          <w:szCs w:val="24"/>
        </w:rPr>
        <w:t>”条款要求还是“</w:t>
      </w:r>
      <w:r>
        <w:rPr>
          <w:rFonts w:hint="eastAsia" w:ascii="宋体" w:hAnsi="宋体" w:eastAsia="宋体" w:cs="宋体"/>
          <w:b/>
          <w:sz w:val="24"/>
          <w:szCs w:val="24"/>
        </w:rPr>
        <w:t>未达到</w:t>
      </w:r>
      <w:r>
        <w:rPr>
          <w:rFonts w:hint="eastAsia" w:ascii="宋体" w:hAnsi="宋体" w:eastAsia="宋体" w:cs="宋体"/>
          <w:sz w:val="24"/>
          <w:szCs w:val="24"/>
        </w:rPr>
        <w:t>”条款要求。标★的条款</w:t>
      </w:r>
      <w:r>
        <w:rPr>
          <w:rFonts w:hint="eastAsia" w:ascii="宋体" w:hAnsi="宋体" w:eastAsia="宋体" w:cs="宋体"/>
          <w:sz w:val="24"/>
          <w:szCs w:val="24"/>
          <w:lang w:val="en-US" w:eastAsia="zh-CN"/>
        </w:rPr>
        <w:t>关键参数</w:t>
      </w:r>
      <w:r>
        <w:rPr>
          <w:rFonts w:hint="eastAsia" w:ascii="宋体" w:hAnsi="宋体" w:eastAsia="宋体" w:cs="宋体"/>
          <w:sz w:val="24"/>
          <w:szCs w:val="24"/>
        </w:rPr>
        <w:t>。</w:t>
      </w:r>
    </w:p>
    <w:p w14:paraId="3BFB9DF3">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.2</w:t>
      </w:r>
      <w:r>
        <w:rPr>
          <w:rFonts w:hint="eastAsia" w:ascii="宋体" w:hAnsi="宋体" w:eastAsia="宋体" w:cs="宋体"/>
          <w:sz w:val="24"/>
          <w:szCs w:val="24"/>
        </w:rPr>
        <w:t>本招标文件中涉及产品的品牌、型号，仅为供应商提供报价产品的技术指标、产品质量的客观参考，帮助供应商准确理解采购人的需求，其建议产品的品牌、型号具有可替代性，但必须明确说明。</w:t>
      </w:r>
    </w:p>
    <w:p w14:paraId="6649BEE7">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.3</w:t>
      </w:r>
      <w:r>
        <w:rPr>
          <w:rFonts w:hint="eastAsia" w:ascii="宋体" w:hAnsi="宋体" w:eastAsia="宋体" w:cs="宋体"/>
          <w:sz w:val="24"/>
          <w:szCs w:val="24"/>
        </w:rPr>
        <w:t>本文件中甲方、用户、需方、买方等泛指采购人，乙方、供方、卖方等泛指供应商。</w:t>
      </w:r>
    </w:p>
    <w:p w14:paraId="4A942FDB">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.4</w:t>
      </w:r>
      <w:r>
        <w:rPr>
          <w:rFonts w:hint="eastAsia" w:ascii="宋体" w:hAnsi="宋体" w:eastAsia="宋体" w:cs="宋体"/>
          <w:sz w:val="24"/>
          <w:szCs w:val="24"/>
        </w:rPr>
        <w:t>投标方应另附独立章节详细说明设备结构特点、技术参数、配置等。</w:t>
      </w:r>
    </w:p>
    <w:p w14:paraId="5A1BA3E7">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.5</w:t>
      </w:r>
      <w:r>
        <w:rPr>
          <w:rFonts w:hint="eastAsia" w:ascii="宋体" w:hAnsi="宋体" w:eastAsia="宋体" w:cs="宋体"/>
          <w:sz w:val="24"/>
          <w:szCs w:val="24"/>
        </w:rPr>
        <w:t>投标方应另附独立章节详细说明原厂商规模实力、技术服务能力，卖方规模实力、技术服务能力。</w:t>
      </w:r>
    </w:p>
    <w:p w14:paraId="1B81E18A">
      <w:pPr>
        <w:pStyle w:val="2"/>
        <w:spacing w:line="360" w:lineRule="auto"/>
        <w:ind w:firstLine="480"/>
        <w:rPr>
          <w:rFonts w:ascii="宋体" w:hAnsi="宋体" w:eastAsia="宋体" w:cs="宋体"/>
          <w:sz w:val="24"/>
          <w:szCs w:val="24"/>
        </w:rPr>
      </w:pPr>
    </w:p>
    <w:p w14:paraId="17644DF7">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14:paraId="36A61E72">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14:paraId="01B8AF1A">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14:paraId="2986A566">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14:paraId="6A868AAC">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14:paraId="6D80E055">
      <w:pPr>
        <w:pStyle w:val="2"/>
        <w:rPr>
          <w:rFonts w:ascii="宋体" w:hAnsi="宋体" w:eastAsia="宋体" w:cs="宋体"/>
          <w:b/>
          <w:bCs/>
          <w:sz w:val="36"/>
          <w:szCs w:val="44"/>
        </w:rPr>
      </w:pPr>
    </w:p>
    <w:p w14:paraId="00FAE655">
      <w:pPr>
        <w:pStyle w:val="2"/>
        <w:ind w:left="0" w:leftChars="0" w:firstLine="0" w:firstLineChars="0"/>
        <w:rPr>
          <w:rFonts w:ascii="宋体" w:hAnsi="宋体" w:eastAsia="宋体" w:cs="宋体"/>
          <w:b/>
          <w:bCs/>
          <w:sz w:val="36"/>
          <w:szCs w:val="44"/>
        </w:rPr>
      </w:pPr>
    </w:p>
    <w:p w14:paraId="5BD90238">
      <w:pPr>
        <w:spacing w:before="240" w:beforeLines="100" w:line="360" w:lineRule="auto"/>
        <w:jc w:val="center"/>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bookmarkStart w:id="5" w:name="_Toc22926"/>
    </w:p>
    <w:p w14:paraId="4FF1B34D">
      <w:pPr>
        <w:spacing w:before="240" w:beforeLines="100" w:line="360" w:lineRule="auto"/>
        <w:jc w:val="center"/>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p>
    <w:p w14:paraId="6157A77B">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二、投标人须知</w:t>
      </w:r>
      <w:bookmarkEnd w:id="5"/>
    </w:p>
    <w:p w14:paraId="428CCCD4">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（一）</w:t>
      </w:r>
      <w:r>
        <w:rPr>
          <w:rFonts w:ascii="黑体" w:hAnsi="黑体" w:eastAsia="黑体" w:cs="黑体"/>
          <w:sz w:val="28"/>
          <w:szCs w:val="28"/>
        </w:rPr>
        <w:t>投标要求</w:t>
      </w:r>
    </w:p>
    <w:p w14:paraId="5F91C79B">
      <w:pPr>
        <w:spacing w:before="255"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投标人应遵守国家有关招标投标法律、法规、部门规章和规范性文件。</w:t>
      </w:r>
    </w:p>
    <w:p w14:paraId="6DBBFE83">
      <w:pPr>
        <w:spacing w:before="227"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投标资</w:t>
      </w:r>
      <w:r>
        <w:rPr>
          <w:rFonts w:hint="eastAsia" w:ascii="宋体" w:hAnsi="宋体" w:eastAsia="宋体" w:cs="宋体"/>
          <w:sz w:val="24"/>
          <w:szCs w:val="24"/>
        </w:rPr>
        <w:t>格（包括但不限于）：</w:t>
      </w:r>
    </w:p>
    <w:p w14:paraId="2D596244">
      <w:pPr>
        <w:tabs>
          <w:tab w:val="left" w:pos="620"/>
        </w:tabs>
        <w:spacing w:before="34"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具有独立承担民事责任的能力；具有良好的商业信誉和健全的财务会计制度；具有履合同所必需的产品和专业技术能力；有依法缴纳税收和社会保障资金的良好记录；参加政府采购活动前三年内，在经营活动中没有重大违法记录；法律、行政法规规定的其它条件；</w:t>
      </w:r>
    </w:p>
    <w:p w14:paraId="36455284">
      <w:pPr>
        <w:tabs>
          <w:tab w:val="left" w:pos="620"/>
        </w:tabs>
        <w:spacing w:before="34" w:line="360" w:lineRule="auto"/>
        <w:ind w:firstLine="480" w:firstLineChars="200"/>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.2满足招标文件中招标公告及项目要求等的其它条件。</w:t>
      </w:r>
    </w:p>
    <w:p w14:paraId="34612834">
      <w:pPr>
        <w:numPr>
          <w:ilvl w:val="0"/>
          <w:numId w:val="2"/>
        </w:numPr>
        <w:tabs>
          <w:tab w:val="left" w:pos="620"/>
        </w:tabs>
        <w:spacing w:before="34"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投标费用：投标人应承担投标过程中所涉及的一切费用，不管投标结果如何，招标人对上述费用不负任何责任。</w:t>
      </w:r>
    </w:p>
    <w:p w14:paraId="2E52BEB7">
      <w:pPr>
        <w:spacing w:before="227"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货物及伴随服务</w:t>
      </w:r>
    </w:p>
    <w:p w14:paraId="28E04573">
      <w:pPr>
        <w:tabs>
          <w:tab w:val="left" w:pos="620"/>
        </w:tabs>
        <w:spacing w:before="34"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除按照招标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14:paraId="256367B0">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（二）投标报价</w:t>
      </w:r>
    </w:p>
    <w:p w14:paraId="7E62B4EB">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1、投标报价要求按招标文件要求报价，并按招标文件中所</w:t>
      </w:r>
      <w:r>
        <w:rPr>
          <w:rFonts w:ascii="宋体" w:hAnsi="宋体" w:eastAsia="宋体" w:cs="宋体"/>
          <w:sz w:val="24"/>
          <w:szCs w:val="24"/>
        </w:rPr>
        <w:t>附《投标函》</w:t>
      </w:r>
      <w:r>
        <w:rPr>
          <w:rFonts w:hint="eastAsia" w:ascii="宋体" w:hAnsi="宋体" w:eastAsia="宋体" w:cs="宋体"/>
          <w:sz w:val="24"/>
          <w:szCs w:val="24"/>
        </w:rPr>
        <w:t>、</w:t>
      </w:r>
      <w:r>
        <w:rPr>
          <w:rFonts w:ascii="宋体" w:hAnsi="宋体" w:eastAsia="宋体" w:cs="宋体"/>
          <w:sz w:val="24"/>
          <w:szCs w:val="24"/>
        </w:rPr>
        <w:t>《投标报价表》格式填写。</w:t>
      </w:r>
    </w:p>
    <w:p w14:paraId="1E9C837D">
      <w:pPr>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所有投标均以人民币报价。</w:t>
      </w:r>
    </w:p>
    <w:p w14:paraId="7AD18F45">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3、投标人所报单价在本招标文件项下的合同履行期间不能因市场变化因素而变动。</w:t>
      </w:r>
    </w:p>
    <w:p w14:paraId="6797979D">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4、投标人所报的各种价格均为含税到招标人指定地点交货价（包含产品包装、运输、装卸等相关费用）；投标报价以元为单位，精确到小数点后两位数，超出两位按四舍五入计；包装物投标人不回收，费用由投标人负担。</w:t>
      </w:r>
    </w:p>
    <w:p w14:paraId="32CA25EB">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5、招标人有权重视各投标人全部报价的合理性。所有投标人不能相互串通、哄抬报价，若有发现，招标人有权宣布其投标无效。</w:t>
      </w:r>
    </w:p>
    <w:p w14:paraId="65538523">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三</w:t>
      </w:r>
      <w:r>
        <w:rPr>
          <w:rFonts w:hint="eastAsia" w:ascii="黑体" w:hAnsi="黑体" w:eastAsia="黑体" w:cs="黑体"/>
          <w:sz w:val="28"/>
          <w:szCs w:val="28"/>
        </w:rPr>
        <w:t>）</w:t>
      </w:r>
      <w:r>
        <w:rPr>
          <w:rFonts w:ascii="黑体" w:hAnsi="黑体" w:eastAsia="黑体" w:cs="黑体"/>
          <w:sz w:val="28"/>
          <w:szCs w:val="28"/>
        </w:rPr>
        <w:t>投标文件</w:t>
      </w:r>
    </w:p>
    <w:p w14:paraId="265F6AB4">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1、投标人应填写其单位名称全称。</w:t>
      </w:r>
    </w:p>
    <w:p w14:paraId="5BF067B7">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投标文件包括《投标函》、《投标报价表》、《技术协议》、《技术和商务条款响应表》、《投标人产品质量承诺函》、《售后服务承诺》、《投资人的资格申明》、《法定代表人授权书》、《业绩表》、《制造商资质证明条件》、《制造商授权代理商文件》</w:t>
      </w:r>
      <w:r>
        <w:rPr>
          <w:rFonts w:hint="eastAsia" w:ascii="宋体" w:hAnsi="宋体" w:eastAsia="宋体" w:cs="宋体"/>
          <w:sz w:val="24"/>
          <w:szCs w:val="24"/>
          <w:lang w:eastAsia="zh-CN"/>
        </w:rPr>
        <w:t>、《</w:t>
      </w:r>
      <w:r>
        <w:rPr>
          <w:rFonts w:hint="eastAsia" w:ascii="宋体" w:hAnsi="宋体" w:eastAsia="宋体" w:cs="宋体"/>
          <w:sz w:val="24"/>
          <w:szCs w:val="24"/>
        </w:rPr>
        <w:t>企业信用等级证书（如果有）</w:t>
      </w:r>
      <w:r>
        <w:rPr>
          <w:rFonts w:hint="eastAsia" w:ascii="宋体" w:hAnsi="宋体" w:eastAsia="宋体" w:cs="宋体"/>
          <w:sz w:val="24"/>
          <w:szCs w:val="24"/>
          <w:lang w:eastAsia="zh-CN"/>
        </w:rPr>
        <w:t>》、《</w:t>
      </w:r>
      <w:r>
        <w:rPr>
          <w:rFonts w:hint="eastAsia" w:ascii="宋体" w:hAnsi="宋体" w:eastAsia="宋体" w:cs="宋体"/>
          <w:sz w:val="24"/>
          <w:szCs w:val="24"/>
        </w:rPr>
        <w:t>质量、环境、健康体系证书（如果有）</w:t>
      </w:r>
      <w:r>
        <w:rPr>
          <w:rFonts w:hint="eastAsia" w:ascii="宋体" w:hAnsi="宋体" w:eastAsia="宋体" w:cs="宋体"/>
          <w:sz w:val="24"/>
          <w:szCs w:val="24"/>
          <w:lang w:eastAsia="zh-CN"/>
        </w:rPr>
        <w:t>》、《</w:t>
      </w:r>
      <w:r>
        <w:rPr>
          <w:rFonts w:hint="eastAsia" w:ascii="宋体" w:hAnsi="宋体" w:eastAsia="宋体" w:cs="宋体"/>
          <w:sz w:val="24"/>
          <w:szCs w:val="24"/>
        </w:rPr>
        <w:t>上一年度企业财务会计报告</w:t>
      </w:r>
      <w:r>
        <w:rPr>
          <w:rFonts w:hint="eastAsia" w:ascii="宋体" w:hAnsi="宋体" w:eastAsia="宋体" w:cs="宋体"/>
          <w:sz w:val="24"/>
          <w:szCs w:val="24"/>
          <w:lang w:eastAsia="zh-CN"/>
        </w:rPr>
        <w:t>》、《</w:t>
      </w:r>
      <w:r>
        <w:rPr>
          <w:rFonts w:hint="eastAsia" w:ascii="宋体" w:hAnsi="宋体" w:eastAsia="宋体" w:cs="宋体"/>
          <w:sz w:val="24"/>
          <w:szCs w:val="24"/>
        </w:rPr>
        <w:t>近三年的相关业绩，列出用户名称及金额。</w:t>
      </w:r>
      <w:r>
        <w:rPr>
          <w:rFonts w:hint="eastAsia" w:ascii="宋体" w:hAnsi="宋体" w:eastAsia="宋体" w:cs="宋体"/>
          <w:sz w:val="24"/>
          <w:szCs w:val="24"/>
          <w:lang w:eastAsia="zh-CN"/>
        </w:rPr>
        <w:t>》</w:t>
      </w:r>
    </w:p>
    <w:p w14:paraId="40892162">
      <w:pPr>
        <w:spacing w:line="44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投标人企业概况及综合情况说明</w:t>
      </w:r>
      <w:r>
        <w:rPr>
          <w:rFonts w:hint="eastAsia" w:ascii="宋体" w:hAnsi="宋体" w:eastAsia="宋体" w:cs="宋体"/>
          <w:sz w:val="24"/>
          <w:szCs w:val="24"/>
          <w:lang w:eastAsia="zh-CN"/>
        </w:rPr>
        <w:t>》、《</w:t>
      </w:r>
      <w:r>
        <w:rPr>
          <w:rFonts w:hint="eastAsia" w:ascii="宋体" w:hAnsi="宋体" w:eastAsia="宋体" w:cs="宋体"/>
          <w:sz w:val="24"/>
          <w:szCs w:val="24"/>
        </w:rPr>
        <w:t>服务承诺</w:t>
      </w:r>
      <w:r>
        <w:rPr>
          <w:rFonts w:hint="eastAsia" w:ascii="宋体" w:hAnsi="宋体" w:eastAsia="宋体" w:cs="宋体"/>
          <w:sz w:val="24"/>
          <w:szCs w:val="24"/>
          <w:lang w:eastAsia="zh-CN"/>
        </w:rPr>
        <w:t>》</w:t>
      </w:r>
      <w:r>
        <w:rPr>
          <w:rFonts w:hint="eastAsia" w:ascii="宋体" w:hAnsi="宋体" w:eastAsia="宋体" w:cs="宋体"/>
          <w:sz w:val="24"/>
          <w:szCs w:val="24"/>
        </w:rPr>
        <w:t>和投标人认为需要提供的其他相关数据和资料。</w:t>
      </w:r>
    </w:p>
    <w:p w14:paraId="1D7F1EF6">
      <w:pPr>
        <w:spacing w:before="226" w:line="360" w:lineRule="auto"/>
        <w:ind w:right="61" w:firstLine="480" w:firstLineChars="200"/>
        <w:rPr>
          <w:rFonts w:ascii="宋体" w:hAnsi="宋体" w:eastAsia="宋体" w:cs="宋体"/>
          <w:sz w:val="24"/>
          <w:szCs w:val="24"/>
        </w:rPr>
      </w:pPr>
      <w:r>
        <w:rPr>
          <w:rFonts w:hint="eastAsia" w:ascii="宋体" w:hAnsi="宋体" w:eastAsia="宋体" w:cs="宋体"/>
          <w:sz w:val="24"/>
          <w:szCs w:val="24"/>
        </w:rPr>
        <w:t>3、《投标函》、《投标报价表》须加盖投标人公章，由其法定代表人或其委托代理人亲笔签字。</w:t>
      </w:r>
    </w:p>
    <w:p w14:paraId="0B2395B2">
      <w:pPr>
        <w:spacing w:before="226" w:line="360" w:lineRule="auto"/>
        <w:ind w:right="61" w:firstLine="480" w:firstLineChars="200"/>
        <w:rPr>
          <w:rFonts w:ascii="黑体" w:hAnsi="黑体" w:eastAsia="黑体" w:cs="黑体"/>
          <w:sz w:val="28"/>
          <w:szCs w:val="28"/>
        </w:rPr>
      </w:pPr>
      <w:r>
        <w:rPr>
          <w:rFonts w:hint="eastAsia" w:ascii="宋体" w:hAnsi="宋体" w:eastAsia="宋体" w:cs="宋体"/>
          <w:sz w:val="24"/>
          <w:szCs w:val="24"/>
        </w:rPr>
        <w:t>4、自开标之日起60天内，投标文件应保持有效。有效期短于前述规定期限的投标，将被拒绝。</w:t>
      </w:r>
    </w:p>
    <w:p w14:paraId="607720D3">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四</w:t>
      </w:r>
      <w:r>
        <w:rPr>
          <w:rFonts w:hint="eastAsia" w:ascii="黑体" w:hAnsi="黑体" w:eastAsia="黑体" w:cs="黑体"/>
          <w:sz w:val="28"/>
          <w:szCs w:val="28"/>
        </w:rPr>
        <w:t>）</w:t>
      </w:r>
      <w:r>
        <w:rPr>
          <w:rFonts w:ascii="黑体" w:hAnsi="黑体" w:eastAsia="黑体" w:cs="黑体"/>
          <w:sz w:val="28"/>
          <w:szCs w:val="28"/>
        </w:rPr>
        <w:t>开标、评标、定标</w:t>
      </w:r>
    </w:p>
    <w:p w14:paraId="7635FE26">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1、开标时，将按照招标人有关招投标规定执行。</w:t>
      </w:r>
    </w:p>
    <w:p w14:paraId="7A6289F1">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2、开标后由招标人组建的评标委员会进行评标，</w:t>
      </w:r>
      <w:r>
        <w:rPr>
          <w:rFonts w:ascii="宋体" w:hAnsi="宋体" w:eastAsia="宋体" w:cs="宋体"/>
          <w:sz w:val="24"/>
          <w:szCs w:val="24"/>
        </w:rPr>
        <w:t>以经评审的</w:t>
      </w:r>
      <w:r>
        <w:rPr>
          <w:rFonts w:hint="eastAsia" w:ascii="宋体" w:hAnsi="宋体" w:eastAsia="宋体" w:cs="宋体"/>
          <w:sz w:val="24"/>
          <w:szCs w:val="24"/>
        </w:rPr>
        <w:t>综合评分</w:t>
      </w:r>
      <w:r>
        <w:rPr>
          <w:rFonts w:ascii="宋体" w:hAnsi="宋体" w:eastAsia="宋体" w:cs="宋体"/>
          <w:sz w:val="24"/>
          <w:szCs w:val="24"/>
        </w:rPr>
        <w:t>法确定中标人。</w:t>
      </w:r>
    </w:p>
    <w:p w14:paraId="74D7201C">
      <w:pPr>
        <w:spacing w:before="225"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招标人不对未中标的投标人作任何解释，不退还投标文件。</w:t>
      </w:r>
    </w:p>
    <w:p w14:paraId="05D202DB">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五</w:t>
      </w:r>
      <w:r>
        <w:rPr>
          <w:rFonts w:hint="eastAsia" w:ascii="黑体" w:hAnsi="黑体" w:eastAsia="黑体" w:cs="黑体"/>
          <w:sz w:val="28"/>
          <w:szCs w:val="28"/>
        </w:rPr>
        <w:t>）</w:t>
      </w:r>
      <w:r>
        <w:rPr>
          <w:rFonts w:ascii="黑体" w:hAnsi="黑体" w:eastAsia="黑体" w:cs="黑体"/>
          <w:sz w:val="28"/>
          <w:szCs w:val="28"/>
        </w:rPr>
        <w:t>合同签订</w:t>
      </w:r>
    </w:p>
    <w:p w14:paraId="67B35725">
      <w:pPr>
        <w:spacing w:before="257"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中标人应在接到中标通知书之日起</w:t>
      </w:r>
      <w:r>
        <w:rPr>
          <w:rFonts w:hint="eastAsia" w:ascii="宋体" w:hAnsi="宋体" w:eastAsia="宋体" w:cs="宋体"/>
          <w:sz w:val="24"/>
          <w:szCs w:val="24"/>
          <w:lang w:val="en-US" w:eastAsia="zh-CN"/>
        </w:rPr>
        <w:t>10</w:t>
      </w:r>
      <w:r>
        <w:rPr>
          <w:rFonts w:ascii="宋体" w:hAnsi="宋体" w:eastAsia="宋体" w:cs="宋体"/>
          <w:sz w:val="24"/>
          <w:szCs w:val="24"/>
        </w:rPr>
        <w:t>日内（含节假日）与招标人签订买卖合同，中标人因自身原因不与招标人签订买卖合同的，视为自愿放弃该次中标。</w:t>
      </w:r>
    </w:p>
    <w:p w14:paraId="34BAEFA4">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中标人必须保证中标产品质量的稳定，如果招标人发现产品质量不符合本招标文件要求的标准，或者发生质量下降，招标人有权单方面终止买卖合同。</w:t>
      </w:r>
    </w:p>
    <w:p w14:paraId="58E0D8AB">
      <w:pPr>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中标人延误买卖合同约定的产品交付期限，招标人有权追究中标人责任。</w:t>
      </w:r>
    </w:p>
    <w:p w14:paraId="26658231">
      <w:pPr>
        <w:spacing w:before="226" w:line="360" w:lineRule="auto"/>
        <w:ind w:right="80" w:firstLine="480" w:firstLineChars="200"/>
      </w:pPr>
      <w:r>
        <w:rPr>
          <w:rFonts w:hint="eastAsia" w:ascii="宋体" w:hAnsi="宋体" w:eastAsia="宋体" w:cs="宋体"/>
          <w:sz w:val="24"/>
          <w:szCs w:val="24"/>
        </w:rPr>
        <w:t>4、</w:t>
      </w:r>
      <w:r>
        <w:rPr>
          <w:rFonts w:ascii="宋体" w:hAnsi="宋体" w:eastAsia="宋体" w:cs="宋体"/>
          <w:sz w:val="24"/>
          <w:szCs w:val="24"/>
        </w:rPr>
        <w:t>在买卖合同有效期内，中标人如违反买卖合同的约定，招标人有权单方面终止买卖合同。</w:t>
      </w:r>
    </w:p>
    <w:p w14:paraId="6A5B06C2">
      <w:pPr>
        <w:spacing w:before="229"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六</w:t>
      </w:r>
      <w:r>
        <w:rPr>
          <w:rFonts w:hint="eastAsia" w:ascii="黑体" w:hAnsi="黑体" w:eastAsia="黑体" w:cs="黑体"/>
          <w:sz w:val="28"/>
          <w:szCs w:val="28"/>
        </w:rPr>
        <w:t>）</w:t>
      </w:r>
      <w:r>
        <w:rPr>
          <w:rFonts w:ascii="黑体" w:hAnsi="黑体" w:eastAsia="黑体" w:cs="黑体"/>
          <w:sz w:val="28"/>
          <w:szCs w:val="28"/>
        </w:rPr>
        <w:t>纪律要求</w:t>
      </w:r>
    </w:p>
    <w:p w14:paraId="7064A897">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2119B16A">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评标委员会及其组成人员应严格自律，严格遵守国家法律、法规，并接受监察部门的监督。</w:t>
      </w:r>
    </w:p>
    <w:p w14:paraId="58B2F05F">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七</w:t>
      </w:r>
      <w:r>
        <w:rPr>
          <w:rFonts w:hint="eastAsia" w:ascii="黑体" w:hAnsi="黑体" w:eastAsia="黑体" w:cs="黑体"/>
          <w:sz w:val="28"/>
          <w:szCs w:val="28"/>
        </w:rPr>
        <w:t>）</w:t>
      </w:r>
      <w:r>
        <w:rPr>
          <w:rFonts w:ascii="黑体" w:hAnsi="黑体" w:eastAsia="黑体" w:cs="黑体"/>
          <w:sz w:val="28"/>
          <w:szCs w:val="28"/>
        </w:rPr>
        <w:t>其他</w:t>
      </w:r>
    </w:p>
    <w:p w14:paraId="35D13D32">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中标人若改变生产工艺，需征得招标人同意，并需重新认可。</w:t>
      </w:r>
    </w:p>
    <w:p w14:paraId="15C3A47D">
      <w:pPr>
        <w:spacing w:before="225"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z w:val="24"/>
          <w:szCs w:val="24"/>
        </w:rPr>
        <w:t>。</w:t>
      </w:r>
    </w:p>
    <w:p w14:paraId="078F8C0C">
      <w:pPr>
        <w:pStyle w:val="2"/>
        <w:spacing w:line="360" w:lineRule="auto"/>
        <w:ind w:firstLine="480"/>
        <w:rPr>
          <w:rFonts w:ascii="宋体" w:hAnsi="宋体" w:eastAsia="宋体" w:cs="宋体"/>
          <w:sz w:val="24"/>
          <w:szCs w:val="24"/>
        </w:rPr>
      </w:pPr>
    </w:p>
    <w:p w14:paraId="61B097CC">
      <w:pPr>
        <w:pStyle w:val="2"/>
        <w:spacing w:line="360" w:lineRule="auto"/>
        <w:ind w:firstLine="480"/>
        <w:rPr>
          <w:rFonts w:ascii="宋体" w:hAnsi="宋体" w:eastAsia="宋体" w:cs="宋体"/>
          <w:sz w:val="24"/>
          <w:szCs w:val="24"/>
        </w:rPr>
      </w:pPr>
    </w:p>
    <w:p w14:paraId="3C7EC76D">
      <w:pPr>
        <w:kinsoku/>
        <w:autoSpaceDE/>
        <w:autoSpaceDN/>
        <w:adjustRightInd/>
        <w:snapToGrid/>
        <w:spacing w:line="360" w:lineRule="auto"/>
        <w:textAlignment w:val="auto"/>
        <w:rPr>
          <w:rFonts w:ascii="宋体" w:hAnsi="宋体" w:eastAsia="宋体" w:cs="宋体"/>
          <w:b/>
          <w:bCs/>
          <w:sz w:val="36"/>
          <w:szCs w:val="44"/>
        </w:rPr>
      </w:pPr>
      <w:r>
        <w:rPr>
          <w:rFonts w:ascii="宋体" w:hAnsi="宋体" w:eastAsia="宋体" w:cs="宋体"/>
          <w:b/>
          <w:bCs/>
          <w:sz w:val="36"/>
          <w:szCs w:val="44"/>
        </w:rPr>
        <w:br w:type="page"/>
      </w:r>
    </w:p>
    <w:p w14:paraId="08155D3B">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32"/>
        </w:rPr>
      </w:pPr>
    </w:p>
    <w:p w14:paraId="59220121">
      <w:pPr>
        <w:widowControl w:val="0"/>
        <w:kinsoku/>
        <w:autoSpaceDE/>
        <w:autoSpaceDN/>
        <w:adjustRightInd/>
        <w:snapToGrid/>
        <w:spacing w:line="360" w:lineRule="auto"/>
        <w:ind w:firstLine="723" w:firstLineChars="200"/>
        <w:jc w:val="center"/>
        <w:textAlignment w:val="auto"/>
        <w:rPr>
          <w:rFonts w:ascii="宋体" w:hAnsi="宋体" w:eastAsia="宋体" w:cs="宋体"/>
          <w:sz w:val="24"/>
          <w:szCs w:val="32"/>
        </w:rPr>
      </w:pPr>
      <w:r>
        <w:rPr>
          <w:rFonts w:hint="eastAsia" w:ascii="宋体" w:hAnsi="宋体" w:eastAsia="宋体" w:cs="宋体"/>
          <w:b/>
          <w:bCs/>
          <w:sz w:val="36"/>
          <w:szCs w:val="44"/>
          <w:lang w:val="en-US" w:eastAsia="zh-CN"/>
        </w:rPr>
        <w:t>综合</w:t>
      </w:r>
      <w:r>
        <w:rPr>
          <w:rFonts w:hint="eastAsia" w:ascii="宋体" w:hAnsi="宋体" w:eastAsia="宋体" w:cs="宋体"/>
          <w:b/>
          <w:bCs/>
          <w:sz w:val="36"/>
          <w:szCs w:val="44"/>
        </w:rPr>
        <w:t>评标评分标准</w:t>
      </w:r>
    </w:p>
    <w:p w14:paraId="5EAFB0C3">
      <w:pPr>
        <w:widowControl w:val="0"/>
        <w:kinsoku/>
        <w:autoSpaceDE/>
        <w:autoSpaceDN/>
        <w:adjustRightInd/>
        <w:snapToGrid/>
        <w:spacing w:before="120" w:beforeLines="50" w:line="360" w:lineRule="auto"/>
        <w:ind w:firstLine="482" w:firstLineChars="200"/>
        <w:jc w:val="both"/>
        <w:textAlignment w:val="auto"/>
        <w:rPr>
          <w:rFonts w:ascii="宋体" w:hAnsi="宋体" w:eastAsia="宋体" w:cs="宋体"/>
          <w:b/>
          <w:bCs/>
          <w:sz w:val="24"/>
          <w:highlight w:val="yellow"/>
        </w:rPr>
      </w:pPr>
      <w:r>
        <w:rPr>
          <w:rFonts w:hint="eastAsia" w:ascii="宋体" w:hAnsi="宋体" w:eastAsia="宋体" w:cs="宋体"/>
          <w:b/>
          <w:bCs/>
          <w:sz w:val="24"/>
        </w:rPr>
        <w:t>1、技术部分</w:t>
      </w:r>
      <w:r>
        <w:rPr>
          <w:rFonts w:hint="eastAsia" w:ascii="宋体" w:hAnsi="宋体" w:eastAsia="宋体" w:cs="宋体"/>
          <w:b/>
          <w:bCs/>
          <w:sz w:val="24"/>
          <w:highlight w:val="yellow"/>
        </w:rPr>
        <w:t>（分值</w:t>
      </w:r>
      <w:r>
        <w:rPr>
          <w:rFonts w:hint="eastAsia" w:ascii="宋体" w:hAnsi="宋体" w:eastAsia="宋体" w:cs="宋体"/>
          <w:b/>
          <w:bCs/>
          <w:sz w:val="24"/>
          <w:highlight w:val="yellow"/>
          <w:lang w:val="en-US" w:eastAsia="zh-CN"/>
        </w:rPr>
        <w:t>2</w:t>
      </w:r>
      <w:r>
        <w:rPr>
          <w:rFonts w:ascii="宋体" w:hAnsi="宋体" w:eastAsia="宋体" w:cs="宋体"/>
          <w:b/>
          <w:bCs/>
          <w:sz w:val="24"/>
          <w:highlight w:val="yellow"/>
        </w:rPr>
        <w:t>0</w:t>
      </w:r>
      <w:r>
        <w:rPr>
          <w:rFonts w:hint="eastAsia" w:ascii="宋体" w:hAnsi="宋体" w:eastAsia="宋体" w:cs="宋体"/>
          <w:b/>
          <w:bCs/>
          <w:sz w:val="24"/>
          <w:highlight w:val="yellow"/>
        </w:rPr>
        <w:t>分）</w:t>
      </w:r>
    </w:p>
    <w:tbl>
      <w:tblPr>
        <w:tblStyle w:val="14"/>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478E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atLeast"/>
        </w:trPr>
        <w:tc>
          <w:tcPr>
            <w:tcW w:w="710" w:type="dxa"/>
            <w:tcMar>
              <w:left w:w="103" w:type="dxa"/>
            </w:tcMar>
            <w:vAlign w:val="center"/>
          </w:tcPr>
          <w:p w14:paraId="43C5456F">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205B5146">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76974875">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2F1D0299">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7C3226C6">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1F55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6E079B98">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576ABCBF">
            <w:pPr>
              <w:pStyle w:val="8"/>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576D77AF">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分</w:t>
            </w:r>
          </w:p>
        </w:tc>
        <w:tc>
          <w:tcPr>
            <w:tcW w:w="5296" w:type="dxa"/>
            <w:tcMar>
              <w:left w:w="103" w:type="dxa"/>
            </w:tcMar>
            <w:vAlign w:val="center"/>
          </w:tcPr>
          <w:p w14:paraId="70819C69">
            <w:pPr>
              <w:keepNext w:val="0"/>
              <w:keepLines w:val="0"/>
              <w:pageBreakBefore w:val="0"/>
              <w:widowControl w:val="0"/>
              <w:kinsoku/>
              <w:wordWrap/>
              <w:overflowPunct/>
              <w:topLinePunct w:val="0"/>
              <w:autoSpaceDE/>
              <w:autoSpaceDN/>
              <w:bidi w:val="0"/>
              <w:spacing w:line="360" w:lineRule="auto"/>
              <w:jc w:val="center"/>
              <w:textAlignment w:val="auto"/>
              <w:rPr>
                <w:rFonts w:hint="eastAsia"/>
                <w:lang w:val="en-US" w:eastAsia="zh-CN"/>
              </w:rPr>
            </w:pPr>
            <w:r>
              <w:rPr>
                <w:rFonts w:hint="eastAsia" w:ascii="宋体" w:hAnsi="宋体" w:eastAsia="宋体" w:cs="宋体"/>
                <w:color w:val="auto"/>
                <w:kern w:val="0"/>
                <w:sz w:val="24"/>
                <w:szCs w:val="24"/>
                <w:highlight w:val="none"/>
                <w:lang w:val="en-US" w:eastAsia="zh-CN"/>
              </w:rPr>
              <w:t>关键参数：一项不响应扣3分。</w:t>
            </w:r>
          </w:p>
          <w:p w14:paraId="7E9B8C34">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一般参数：一项不响应扣1分。</w:t>
            </w:r>
          </w:p>
        </w:tc>
        <w:tc>
          <w:tcPr>
            <w:tcW w:w="1134" w:type="dxa"/>
            <w:tcMar>
              <w:left w:w="103" w:type="dxa"/>
            </w:tcMar>
            <w:vAlign w:val="center"/>
          </w:tcPr>
          <w:p w14:paraId="09FBE103">
            <w:pPr>
              <w:widowControl w:val="0"/>
              <w:kinsoku/>
              <w:autoSpaceDE/>
              <w:autoSpaceDN/>
              <w:spacing w:line="360" w:lineRule="auto"/>
              <w:jc w:val="center"/>
              <w:textAlignment w:val="auto"/>
              <w:rPr>
                <w:rFonts w:ascii="宋体" w:hAnsi="宋体" w:eastAsia="宋体" w:cs="宋体"/>
                <w:color w:val="auto"/>
                <w:sz w:val="24"/>
                <w:szCs w:val="24"/>
              </w:rPr>
            </w:pPr>
          </w:p>
        </w:tc>
      </w:tr>
    </w:tbl>
    <w:p w14:paraId="353CCE18">
      <w:pPr>
        <w:spacing w:line="360" w:lineRule="auto"/>
        <w:jc w:val="both"/>
        <w:rPr>
          <w:rFonts w:ascii="宋体" w:hAnsi="宋体" w:eastAsia="宋体" w:cs="宋体"/>
          <w:b/>
          <w:bCs/>
          <w:sz w:val="24"/>
          <w:highlight w:val="none"/>
        </w:rPr>
      </w:pPr>
    </w:p>
    <w:p w14:paraId="11AB85FF">
      <w:pPr>
        <w:spacing w:line="360" w:lineRule="auto"/>
        <w:ind w:firstLine="482" w:firstLineChars="200"/>
        <w:jc w:val="both"/>
        <w:rPr>
          <w:rFonts w:ascii="宋体" w:hAnsi="宋体" w:eastAsia="宋体" w:cs="宋体"/>
          <w:b/>
          <w:bCs/>
          <w:sz w:val="24"/>
          <w:highlight w:val="none"/>
        </w:rPr>
      </w:pPr>
      <w:r>
        <w:rPr>
          <w:rFonts w:hint="eastAsia" w:ascii="宋体" w:hAnsi="宋体" w:eastAsia="宋体" w:cs="宋体"/>
          <w:b/>
          <w:bCs/>
          <w:sz w:val="24"/>
          <w:highlight w:val="none"/>
        </w:rPr>
        <w:t>2、商务部分（分值</w:t>
      </w:r>
      <w:r>
        <w:rPr>
          <w:rFonts w:hint="eastAsia" w:ascii="宋体" w:hAnsi="宋体" w:eastAsia="宋体" w:cs="宋体"/>
          <w:b/>
          <w:bCs/>
          <w:sz w:val="24"/>
          <w:highlight w:val="none"/>
          <w:lang w:val="en-US" w:eastAsia="zh-CN"/>
        </w:rPr>
        <w:t>3</w:t>
      </w:r>
      <w:r>
        <w:rPr>
          <w:rFonts w:ascii="宋体" w:hAnsi="宋体" w:eastAsia="宋体" w:cs="宋体"/>
          <w:b/>
          <w:bCs/>
          <w:sz w:val="24"/>
          <w:highlight w:val="none"/>
        </w:rPr>
        <w:t>0</w:t>
      </w:r>
      <w:r>
        <w:rPr>
          <w:rFonts w:hint="eastAsia" w:ascii="宋体" w:hAnsi="宋体" w:eastAsia="宋体" w:cs="宋体"/>
          <w:b/>
          <w:bCs/>
          <w:sz w:val="24"/>
          <w:highlight w:val="none"/>
        </w:rPr>
        <w:t>分）</w:t>
      </w:r>
    </w:p>
    <w:tbl>
      <w:tblPr>
        <w:tblStyle w:val="14"/>
        <w:tblW w:w="918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296"/>
        <w:gridCol w:w="1134"/>
      </w:tblGrid>
      <w:tr w14:paraId="33160A9D">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87" w:hRule="atLeast"/>
        </w:trPr>
        <w:tc>
          <w:tcPr>
            <w:tcW w:w="710" w:type="dxa"/>
            <w:tcBorders>
              <w:top w:val="single" w:color="000000" w:sz="4" w:space="0"/>
              <w:left w:val="single" w:color="000000" w:sz="4" w:space="0"/>
              <w:bottom w:val="single" w:color="000000" w:sz="4" w:space="0"/>
            </w:tcBorders>
            <w:tcMar>
              <w:left w:w="103" w:type="dxa"/>
            </w:tcMar>
            <w:vAlign w:val="center"/>
          </w:tcPr>
          <w:p w14:paraId="79661BC5">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0" w:type="dxa"/>
            <w:tcBorders>
              <w:top w:val="single" w:color="000000" w:sz="4" w:space="0"/>
              <w:left w:val="single" w:color="000000" w:sz="4" w:space="0"/>
              <w:bottom w:val="single" w:color="000000" w:sz="4" w:space="0"/>
            </w:tcBorders>
            <w:tcMar>
              <w:left w:w="103" w:type="dxa"/>
            </w:tcMar>
            <w:vAlign w:val="center"/>
          </w:tcPr>
          <w:p w14:paraId="3B7252FF">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860" w:type="dxa"/>
            <w:tcBorders>
              <w:top w:val="single" w:color="000000" w:sz="4" w:space="0"/>
              <w:left w:val="single" w:color="000000" w:sz="4" w:space="0"/>
              <w:bottom w:val="single" w:color="000000" w:sz="4" w:space="0"/>
            </w:tcBorders>
            <w:tcMar>
              <w:left w:w="103" w:type="dxa"/>
            </w:tcMar>
            <w:vAlign w:val="center"/>
          </w:tcPr>
          <w:p w14:paraId="70EB9967">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73FE8314">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34C2D42D">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实得分</w:t>
            </w:r>
          </w:p>
        </w:tc>
      </w:tr>
      <w:tr w14:paraId="77DAFBAF">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865" w:hRule="atLeast"/>
        </w:trPr>
        <w:tc>
          <w:tcPr>
            <w:tcW w:w="710" w:type="dxa"/>
            <w:vMerge w:val="restart"/>
            <w:tcBorders>
              <w:top w:val="single" w:color="000000" w:sz="4" w:space="0"/>
              <w:left w:val="single" w:color="000000" w:sz="4" w:space="0"/>
            </w:tcBorders>
            <w:tcMar>
              <w:left w:w="103" w:type="dxa"/>
            </w:tcMar>
            <w:vAlign w:val="center"/>
          </w:tcPr>
          <w:p w14:paraId="10EC0CCB">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0" w:type="dxa"/>
            <w:vMerge w:val="restart"/>
            <w:tcBorders>
              <w:top w:val="single" w:color="000000" w:sz="4" w:space="0"/>
              <w:left w:val="single" w:color="000000" w:sz="4" w:space="0"/>
            </w:tcBorders>
            <w:tcMar>
              <w:left w:w="103" w:type="dxa"/>
            </w:tcMar>
            <w:vAlign w:val="center"/>
          </w:tcPr>
          <w:p w14:paraId="72F40370">
            <w:pPr>
              <w:pStyle w:val="8"/>
              <w:widowControl w:val="0"/>
              <w:kinsoku/>
              <w:autoSpaceDE/>
              <w:autoSpaceDN/>
              <w:spacing w:line="360" w:lineRule="auto"/>
              <w:jc w:val="center"/>
              <w:textAlignment w:val="auto"/>
              <w:rPr>
                <w:rFonts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企业</w:t>
            </w:r>
            <w:r>
              <w:rPr>
                <w:rFonts w:hint="eastAsia" w:ascii="宋体" w:hAnsi="宋体" w:eastAsia="宋体" w:cs="宋体"/>
                <w:color w:val="auto"/>
                <w:szCs w:val="24"/>
                <w:highlight w:val="none"/>
              </w:rPr>
              <w:t>资质</w:t>
            </w:r>
          </w:p>
        </w:tc>
        <w:tc>
          <w:tcPr>
            <w:tcW w:w="860" w:type="dxa"/>
            <w:tcBorders>
              <w:top w:val="single" w:color="000000" w:sz="4" w:space="0"/>
              <w:left w:val="single" w:color="000000" w:sz="4" w:space="0"/>
              <w:bottom w:val="single" w:color="000000" w:sz="4" w:space="0"/>
            </w:tcBorders>
            <w:tcMar>
              <w:left w:w="103" w:type="dxa"/>
            </w:tcMar>
            <w:vAlign w:val="center"/>
          </w:tcPr>
          <w:p w14:paraId="7B010CFC">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3E9A96F2">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00万元</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分，每高于</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00万元加</w:t>
            </w:r>
            <w:r>
              <w:rPr>
                <w:rFonts w:ascii="宋体" w:hAnsi="宋体" w:eastAsia="宋体" w:cs="宋体"/>
                <w:color w:val="auto"/>
                <w:sz w:val="24"/>
                <w:szCs w:val="24"/>
                <w:highlight w:val="none"/>
              </w:rPr>
              <w:t>0.5</w:t>
            </w:r>
            <w:r>
              <w:rPr>
                <w:rFonts w:hint="eastAsia" w:ascii="宋体" w:hAnsi="宋体" w:eastAsia="宋体" w:cs="宋体"/>
                <w:color w:val="auto"/>
                <w:sz w:val="24"/>
                <w:szCs w:val="24"/>
                <w:highlight w:val="none"/>
              </w:rPr>
              <w:t>分，本小项最高得</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73ED2999">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53D0BB31">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605" w:hRule="atLeast"/>
        </w:trPr>
        <w:tc>
          <w:tcPr>
            <w:tcW w:w="710" w:type="dxa"/>
            <w:vMerge w:val="continue"/>
            <w:tcBorders>
              <w:left w:val="single" w:color="000000" w:sz="4" w:space="0"/>
              <w:bottom w:val="single" w:color="000000" w:sz="4" w:space="0"/>
            </w:tcBorders>
            <w:tcMar>
              <w:left w:w="103" w:type="dxa"/>
            </w:tcMar>
            <w:vAlign w:val="center"/>
          </w:tcPr>
          <w:p w14:paraId="2BAE4710">
            <w:pPr>
              <w:widowControl w:val="0"/>
              <w:kinsoku/>
              <w:autoSpaceDE/>
              <w:autoSpaceDN/>
              <w:spacing w:line="360" w:lineRule="auto"/>
              <w:jc w:val="center"/>
              <w:textAlignment w:val="auto"/>
              <w:rPr>
                <w:rFonts w:ascii="宋体" w:hAnsi="宋体" w:eastAsia="宋体" w:cs="宋体"/>
                <w:color w:val="auto"/>
                <w:sz w:val="24"/>
                <w:szCs w:val="24"/>
                <w:highlight w:val="none"/>
              </w:rPr>
            </w:pPr>
          </w:p>
        </w:tc>
        <w:tc>
          <w:tcPr>
            <w:tcW w:w="1180" w:type="dxa"/>
            <w:vMerge w:val="continue"/>
            <w:tcBorders>
              <w:left w:val="single" w:color="000000" w:sz="4" w:space="0"/>
            </w:tcBorders>
            <w:tcMar>
              <w:left w:w="103" w:type="dxa"/>
            </w:tcMar>
            <w:vAlign w:val="center"/>
          </w:tcPr>
          <w:p w14:paraId="01D82FF4">
            <w:pPr>
              <w:pStyle w:val="8"/>
              <w:widowControl w:val="0"/>
              <w:kinsoku/>
              <w:autoSpaceDE/>
              <w:autoSpaceDN/>
              <w:spacing w:line="360" w:lineRule="auto"/>
              <w:jc w:val="center"/>
              <w:textAlignment w:val="auto"/>
              <w:rPr>
                <w:rFonts w:ascii="宋体" w:hAnsi="宋体" w:eastAsia="宋体" w:cs="宋体"/>
                <w:color w:val="auto"/>
                <w:szCs w:val="24"/>
                <w:highlight w:val="none"/>
                <w:lang w:val="en-US"/>
              </w:rPr>
            </w:pPr>
          </w:p>
        </w:tc>
        <w:tc>
          <w:tcPr>
            <w:tcW w:w="860" w:type="dxa"/>
            <w:tcBorders>
              <w:top w:val="single" w:color="000000" w:sz="4" w:space="0"/>
              <w:left w:val="single" w:color="000000" w:sz="4" w:space="0"/>
              <w:bottom w:val="single" w:color="000000" w:sz="4" w:space="0"/>
            </w:tcBorders>
            <w:tcMar>
              <w:left w:w="103" w:type="dxa"/>
            </w:tcMar>
            <w:vAlign w:val="center"/>
          </w:tcPr>
          <w:p w14:paraId="3B3F3F31">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45395C75">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相关体系认证（质量、环境、职业健康安全、</w:t>
            </w:r>
            <w:r>
              <w:rPr>
                <w:rFonts w:hint="eastAsia" w:ascii="宋体" w:hAnsi="宋体" w:eastAsia="宋体" w:cs="宋体"/>
                <w:color w:val="auto"/>
                <w:sz w:val="24"/>
                <w:szCs w:val="24"/>
                <w:highlight w:val="none"/>
                <w:lang w:val="en-US" w:eastAsia="zh-CN"/>
              </w:rPr>
              <w:t>企业信用等级证明</w:t>
            </w:r>
            <w:r>
              <w:rPr>
                <w:rFonts w:hint="eastAsia" w:ascii="宋体" w:hAnsi="宋体" w:eastAsia="宋体" w:cs="宋体"/>
                <w:color w:val="auto"/>
                <w:sz w:val="24"/>
                <w:szCs w:val="24"/>
                <w:highlight w:val="none"/>
              </w:rPr>
              <w:t>每项</w:t>
            </w:r>
            <w:r>
              <w:rPr>
                <w:rFonts w:ascii="宋体" w:hAnsi="宋体" w:eastAsia="宋体" w:cs="宋体"/>
                <w:color w:val="auto"/>
                <w:sz w:val="24"/>
                <w:szCs w:val="24"/>
                <w:highlight w:val="none"/>
              </w:rPr>
              <w:t>0.5</w:t>
            </w:r>
            <w:r>
              <w:rPr>
                <w:rFonts w:hint="eastAsia" w:ascii="宋体" w:hAnsi="宋体" w:eastAsia="宋体" w:cs="宋体"/>
                <w:color w:val="auto"/>
                <w:sz w:val="24"/>
                <w:szCs w:val="24"/>
                <w:highlight w:val="none"/>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4EF5F871">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43FB1C36">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093" w:hRule="atLeast"/>
        </w:trPr>
        <w:tc>
          <w:tcPr>
            <w:tcW w:w="710" w:type="dxa"/>
            <w:tcBorders>
              <w:top w:val="single" w:color="000000" w:sz="4" w:space="0"/>
              <w:left w:val="single" w:color="000000" w:sz="4" w:space="0"/>
              <w:bottom w:val="single" w:color="000000" w:sz="4" w:space="0"/>
            </w:tcBorders>
            <w:tcMar>
              <w:left w:w="103" w:type="dxa"/>
            </w:tcMar>
            <w:vAlign w:val="center"/>
          </w:tcPr>
          <w:p w14:paraId="430B29FE">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80" w:type="dxa"/>
            <w:tcBorders>
              <w:left w:val="single" w:color="000000" w:sz="4" w:space="0"/>
            </w:tcBorders>
            <w:tcMar>
              <w:left w:w="103" w:type="dxa"/>
            </w:tcMar>
            <w:vAlign w:val="center"/>
          </w:tcPr>
          <w:p w14:paraId="437CA86B">
            <w:pPr>
              <w:pStyle w:val="8"/>
              <w:widowControl w:val="0"/>
              <w:kinsoku/>
              <w:autoSpaceDE/>
              <w:autoSpaceDN/>
              <w:spacing w:line="360" w:lineRule="auto"/>
              <w:jc w:val="center"/>
              <w:textAlignment w:val="auto"/>
              <w:rPr>
                <w:rFonts w:ascii="宋体" w:hAnsi="宋体" w:eastAsia="宋体" w:cs="宋体"/>
                <w:color w:val="auto"/>
                <w:szCs w:val="24"/>
                <w:highlight w:val="none"/>
                <w:lang w:val="en-US"/>
              </w:rPr>
            </w:pPr>
            <w:r>
              <w:rPr>
                <w:rFonts w:hint="eastAsia" w:ascii="宋体" w:hAnsi="宋体" w:eastAsia="宋体" w:cs="宋体"/>
                <w:color w:val="auto"/>
                <w:szCs w:val="24"/>
                <w:highlight w:val="none"/>
              </w:rPr>
              <w:t>类似</w:t>
            </w:r>
            <w:r>
              <w:rPr>
                <w:rFonts w:hint="eastAsia" w:ascii="宋体" w:hAnsi="宋体" w:eastAsia="宋体" w:cs="宋体"/>
                <w:color w:val="auto"/>
                <w:szCs w:val="24"/>
                <w:highlight w:val="none"/>
                <w:lang w:val="en-US"/>
              </w:rPr>
              <w:t>业务</w:t>
            </w:r>
            <w:r>
              <w:rPr>
                <w:rFonts w:hint="eastAsia" w:ascii="宋体" w:hAnsi="宋体" w:eastAsia="宋体" w:cs="宋体"/>
                <w:color w:val="auto"/>
                <w:szCs w:val="24"/>
                <w:highlight w:val="none"/>
              </w:rPr>
              <w:t>业绩</w:t>
            </w:r>
          </w:p>
        </w:tc>
        <w:tc>
          <w:tcPr>
            <w:tcW w:w="860" w:type="dxa"/>
            <w:tcBorders>
              <w:top w:val="single" w:color="000000" w:sz="4" w:space="0"/>
              <w:left w:val="single" w:color="000000" w:sz="4" w:space="0"/>
              <w:bottom w:val="single" w:color="000000" w:sz="4" w:space="0"/>
            </w:tcBorders>
            <w:tcMar>
              <w:left w:w="103" w:type="dxa"/>
            </w:tcMar>
            <w:vAlign w:val="center"/>
          </w:tcPr>
          <w:p w14:paraId="003B082C">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4AF6FF90">
            <w:pPr>
              <w:pStyle w:val="21"/>
              <w:widowControl w:val="0"/>
              <w:kinsoku/>
              <w:autoSpaceDE/>
              <w:autoSpaceDN/>
              <w:adjustRightInd/>
              <w:snapToGrid/>
              <w:spacing w:line="360" w:lineRule="auto"/>
              <w:ind w:left="0" w:leftChars="0" w:firstLine="0" w:firstLineChars="0"/>
              <w:jc w:val="both"/>
              <w:textAlignment w:val="auto"/>
              <w:rPr>
                <w:rFonts w:hint="eastAsia" w:ascii="宋体" w:hAnsi="宋体" w:eastAsia="宋体" w:cs="宋体"/>
                <w:color w:val="auto"/>
                <w:sz w:val="24"/>
                <w:szCs w:val="24"/>
                <w:highlight w:val="none"/>
              </w:rPr>
            </w:pPr>
            <w:r>
              <w:rPr>
                <w:rFonts w:hint="default" w:ascii="Calibri" w:hAnsi="Calibri" w:eastAsia="宋体" w:cs="Calibri"/>
                <w:color w:val="auto"/>
                <w:sz w:val="24"/>
                <w:szCs w:val="24"/>
                <w:highlight w:val="none"/>
                <w:lang w:val="en-US" w:eastAsia="zh-CN"/>
              </w:rPr>
              <w:t>①</w:t>
            </w:r>
            <w:r>
              <w:rPr>
                <w:rFonts w:hint="eastAsia" w:ascii="宋体" w:hAnsi="宋体" w:eastAsia="宋体" w:cs="宋体"/>
                <w:color w:val="auto"/>
                <w:sz w:val="24"/>
                <w:szCs w:val="24"/>
                <w:highlight w:val="none"/>
              </w:rPr>
              <w:t>投标人近三年来承接过合同金额</w:t>
            </w:r>
            <w:r>
              <w:rPr>
                <w:rFonts w:hint="eastAsia" w:ascii="宋体" w:hAnsi="宋体" w:eastAsia="宋体" w:cs="宋体"/>
                <w:color w:val="auto"/>
                <w:sz w:val="24"/>
                <w:szCs w:val="24"/>
                <w:highlight w:val="none"/>
                <w:lang w:val="en-US" w:eastAsia="zh-CN"/>
              </w:rPr>
              <w:t>500</w:t>
            </w:r>
            <w:r>
              <w:rPr>
                <w:rFonts w:hint="eastAsia" w:ascii="宋体" w:hAnsi="宋体" w:eastAsia="宋体" w:cs="宋体"/>
                <w:color w:val="auto"/>
                <w:sz w:val="24"/>
                <w:szCs w:val="24"/>
                <w:highlight w:val="none"/>
              </w:rPr>
              <w:t>万元及以上类似业绩且验收合格的，提供一项目业绩的得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分（未能提供验收证明的得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7DABE94F">
            <w:pPr>
              <w:pStyle w:val="21"/>
              <w:numPr>
                <w:ilvl w:val="0"/>
                <w:numId w:val="0"/>
              </w:numPr>
              <w:spacing w:line="360" w:lineRule="auto"/>
              <w:ind w:left="0" w:leftChars="0" w:firstLine="0" w:firstLineChars="0"/>
              <w:jc w:val="both"/>
              <w:rPr>
                <w:rFonts w:hint="eastAsia" w:ascii="宋体" w:hAnsi="宋体" w:eastAsia="宋体" w:cs="宋体"/>
                <w:color w:val="auto"/>
                <w:sz w:val="24"/>
                <w:highlight w:val="none"/>
                <w:lang w:val="en-US" w:eastAsia="zh-CN"/>
              </w:rPr>
            </w:pPr>
            <w:r>
              <w:rPr>
                <w:rFonts w:hint="default" w:ascii="Calibri" w:hAnsi="Calibri" w:eastAsia="宋体" w:cs="Calibri"/>
                <w:color w:val="auto"/>
                <w:sz w:val="24"/>
                <w:szCs w:val="24"/>
                <w:highlight w:val="none"/>
                <w:lang w:val="en-US" w:eastAsia="zh-CN"/>
              </w:rPr>
              <w:t>②</w:t>
            </w:r>
            <w:r>
              <w:rPr>
                <w:rFonts w:hint="eastAsia" w:ascii="宋体" w:hAnsi="宋体" w:eastAsia="宋体" w:cs="宋体"/>
                <w:color w:val="auto"/>
                <w:sz w:val="24"/>
                <w:szCs w:val="24"/>
                <w:highlight w:val="none"/>
              </w:rPr>
              <w:t>投标人近三年来承接过</w:t>
            </w:r>
            <w:r>
              <w:rPr>
                <w:rFonts w:hint="eastAsia" w:ascii="宋体" w:hAnsi="宋体" w:eastAsia="宋体" w:cs="宋体"/>
                <w:color w:val="auto"/>
                <w:sz w:val="24"/>
                <w:highlight w:val="none"/>
              </w:rPr>
              <w:t>焊接能力：6系铝合金焊接厚度≥30mm</w:t>
            </w:r>
            <w:r>
              <w:rPr>
                <w:rFonts w:hint="eastAsia" w:ascii="宋体" w:hAnsi="宋体" w:eastAsia="宋体" w:cs="宋体"/>
                <w:color w:val="auto"/>
                <w:sz w:val="24"/>
                <w:highlight w:val="none"/>
                <w:lang w:val="en-US" w:eastAsia="zh-CN"/>
              </w:rPr>
              <w:t>的业务，</w:t>
            </w:r>
            <w:r>
              <w:rPr>
                <w:rFonts w:hint="eastAsia" w:ascii="宋体" w:hAnsi="宋体" w:eastAsia="宋体" w:cs="宋体"/>
                <w:color w:val="auto"/>
                <w:sz w:val="24"/>
                <w:szCs w:val="24"/>
                <w:highlight w:val="none"/>
              </w:rPr>
              <w:t>提供一项目业绩的得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分（未能提供验收证明的得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5D1B05D9">
            <w:pPr>
              <w:pStyle w:val="21"/>
              <w:widowControl w:val="0"/>
              <w:kinsoku/>
              <w:autoSpaceDE/>
              <w:autoSpaceDN/>
              <w:adjustRightInd/>
              <w:snapToGrid/>
              <w:spacing w:line="360" w:lineRule="auto"/>
              <w:ind w:left="0" w:leftChars="0"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投标人应当提供合同、验收证明复印件（须加盖验收方公章）等证明材料。</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3E870688">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671B58DA">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14:paraId="78FC59FF">
            <w:pPr>
              <w:widowControl w:val="0"/>
              <w:kinsoku/>
              <w:autoSpaceDE/>
              <w:autoSpaceDN/>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180" w:type="dxa"/>
            <w:tcBorders>
              <w:left w:val="single" w:color="000000" w:sz="4" w:space="0"/>
            </w:tcBorders>
            <w:tcMar>
              <w:left w:w="103" w:type="dxa"/>
            </w:tcMar>
            <w:vAlign w:val="center"/>
          </w:tcPr>
          <w:p w14:paraId="7EBFAB58">
            <w:pPr>
              <w:pStyle w:val="8"/>
              <w:widowControl w:val="0"/>
              <w:kinsoku/>
              <w:autoSpaceDE/>
              <w:autoSpaceDN/>
              <w:spacing w:line="360" w:lineRule="auto"/>
              <w:jc w:val="center"/>
              <w:textAlignment w:val="auto"/>
              <w:rPr>
                <w:rFonts w:ascii="宋体" w:hAnsi="宋体" w:eastAsia="宋体" w:cs="宋体"/>
                <w:color w:val="auto"/>
                <w:szCs w:val="24"/>
                <w:highlight w:val="none"/>
              </w:rPr>
            </w:pPr>
            <w:r>
              <w:rPr>
                <w:rFonts w:hint="eastAsia" w:ascii="宋体" w:hAnsi="宋体" w:eastAsia="宋体" w:cs="宋体"/>
                <w:color w:val="auto"/>
                <w:szCs w:val="24"/>
                <w:highlight w:val="none"/>
                <w:lang w:val="en-US"/>
              </w:rPr>
              <w:t>付款方式</w:t>
            </w:r>
          </w:p>
        </w:tc>
        <w:tc>
          <w:tcPr>
            <w:tcW w:w="860" w:type="dxa"/>
            <w:tcBorders>
              <w:top w:val="single" w:color="000000" w:sz="4" w:space="0"/>
              <w:left w:val="single" w:color="000000" w:sz="4" w:space="0"/>
              <w:bottom w:val="single" w:color="000000" w:sz="4" w:space="0"/>
            </w:tcBorders>
            <w:tcMar>
              <w:left w:w="103" w:type="dxa"/>
            </w:tcMar>
            <w:vAlign w:val="center"/>
          </w:tcPr>
          <w:p w14:paraId="58168B3A">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75C97E4B">
            <w:pPr>
              <w:kinsoku/>
              <w:autoSpaceDE/>
              <w:autoSpaceDN/>
              <w:adjustRightInd/>
              <w:snapToGrid/>
              <w:spacing w:line="360" w:lineRule="auto"/>
              <w:ind w:firstLine="480" w:firstLineChars="20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不响应扣</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3FD9AE31">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359417CE">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14:paraId="21B260B2">
            <w:pPr>
              <w:widowControl w:val="0"/>
              <w:kinsoku/>
              <w:autoSpaceDE/>
              <w:autoSpaceDN/>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180" w:type="dxa"/>
            <w:tcBorders>
              <w:left w:val="single" w:color="000000" w:sz="4" w:space="0"/>
            </w:tcBorders>
            <w:tcMar>
              <w:left w:w="103" w:type="dxa"/>
            </w:tcMar>
            <w:vAlign w:val="center"/>
          </w:tcPr>
          <w:p w14:paraId="00C8E520">
            <w:pPr>
              <w:pStyle w:val="8"/>
              <w:widowControl w:val="0"/>
              <w:kinsoku/>
              <w:autoSpaceDE/>
              <w:autoSpaceDN/>
              <w:spacing w:line="360" w:lineRule="auto"/>
              <w:jc w:val="center"/>
              <w:textAlignment w:val="auto"/>
              <w:rPr>
                <w:rFonts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交货期</w:t>
            </w:r>
          </w:p>
        </w:tc>
        <w:tc>
          <w:tcPr>
            <w:tcW w:w="860" w:type="dxa"/>
            <w:tcBorders>
              <w:top w:val="single" w:color="000000" w:sz="4" w:space="0"/>
              <w:left w:val="single" w:color="000000" w:sz="4" w:space="0"/>
              <w:bottom w:val="single" w:color="000000" w:sz="4" w:space="0"/>
            </w:tcBorders>
            <w:tcMar>
              <w:left w:w="103" w:type="dxa"/>
            </w:tcMar>
            <w:vAlign w:val="center"/>
          </w:tcPr>
          <w:p w14:paraId="0533F0BD">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EBF014F">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邀标文件中规定的交货期为</w:t>
            </w:r>
            <w:r>
              <w:rPr>
                <w:rFonts w:hint="eastAsia" w:ascii="宋体" w:hAnsi="宋体" w:eastAsia="宋体" w:cs="宋体"/>
                <w:color w:val="auto"/>
                <w:sz w:val="24"/>
                <w:szCs w:val="24"/>
                <w:highlight w:val="none"/>
                <w:lang w:val="en-US" w:eastAsia="zh-CN"/>
              </w:rPr>
              <w:t>75天</w:t>
            </w:r>
            <w:r>
              <w:rPr>
                <w:rFonts w:hint="eastAsia" w:ascii="宋体" w:hAnsi="宋体" w:eastAsia="宋体" w:cs="宋体"/>
                <w:color w:val="auto"/>
                <w:sz w:val="24"/>
                <w:szCs w:val="24"/>
                <w:highlight w:val="none"/>
              </w:rPr>
              <w:t>，基础分为1分，每提前</w:t>
            </w:r>
            <w:r>
              <w:rPr>
                <w:rFonts w:hint="eastAsia" w:ascii="宋体" w:hAnsi="宋体" w:eastAsia="宋体" w:cs="宋体"/>
                <w:color w:val="auto"/>
                <w:sz w:val="24"/>
                <w:szCs w:val="24"/>
                <w:highlight w:val="none"/>
                <w:lang w:val="en-US" w:eastAsia="zh-CN"/>
              </w:rPr>
              <w:t>5天</w:t>
            </w:r>
            <w:r>
              <w:rPr>
                <w:rFonts w:hint="eastAsia" w:ascii="宋体" w:hAnsi="宋体" w:eastAsia="宋体" w:cs="宋体"/>
                <w:color w:val="auto"/>
                <w:sz w:val="24"/>
                <w:szCs w:val="24"/>
                <w:highlight w:val="none"/>
              </w:rPr>
              <w:t>加1分，每超过</w:t>
            </w:r>
            <w:r>
              <w:rPr>
                <w:rFonts w:hint="eastAsia" w:ascii="宋体" w:hAnsi="宋体" w:eastAsia="宋体" w:cs="宋体"/>
                <w:color w:val="auto"/>
                <w:sz w:val="24"/>
                <w:szCs w:val="24"/>
                <w:highlight w:val="none"/>
                <w:lang w:val="en-US" w:eastAsia="zh-CN"/>
              </w:rPr>
              <w:t>5天</w:t>
            </w:r>
            <w:r>
              <w:rPr>
                <w:rFonts w:hint="eastAsia" w:ascii="宋体" w:hAnsi="宋体" w:eastAsia="宋体" w:cs="宋体"/>
                <w:color w:val="auto"/>
                <w:sz w:val="24"/>
                <w:szCs w:val="24"/>
                <w:highlight w:val="none"/>
              </w:rPr>
              <w:t>扣1分，上限为3分。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1A05CD07">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30283F6F">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14:paraId="2097C6B1">
            <w:pPr>
              <w:widowControl w:val="0"/>
              <w:kinsoku/>
              <w:autoSpaceDE/>
              <w:autoSpaceDN/>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180" w:type="dxa"/>
            <w:tcBorders>
              <w:left w:val="single" w:color="000000" w:sz="4" w:space="0"/>
              <w:bottom w:val="single" w:color="000000" w:sz="4" w:space="0"/>
            </w:tcBorders>
            <w:tcMar>
              <w:left w:w="103" w:type="dxa"/>
            </w:tcMar>
            <w:vAlign w:val="center"/>
          </w:tcPr>
          <w:p w14:paraId="75296D14">
            <w:pPr>
              <w:pStyle w:val="8"/>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售后服务</w:t>
            </w:r>
          </w:p>
        </w:tc>
        <w:tc>
          <w:tcPr>
            <w:tcW w:w="860" w:type="dxa"/>
            <w:tcBorders>
              <w:top w:val="single" w:color="000000" w:sz="4" w:space="0"/>
              <w:left w:val="single" w:color="000000" w:sz="4" w:space="0"/>
              <w:bottom w:val="single" w:color="000000" w:sz="4" w:space="0"/>
            </w:tcBorders>
            <w:tcMar>
              <w:left w:w="103" w:type="dxa"/>
            </w:tcMar>
            <w:vAlign w:val="center"/>
          </w:tcPr>
          <w:p w14:paraId="10046228">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67795CE">
            <w:pPr>
              <w:kinsoku/>
              <w:autoSpaceDE/>
              <w:autoSpaceDN/>
              <w:adjustRightInd/>
              <w:snapToGrid/>
              <w:spacing w:line="360"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1、投标人须对所售出的产品实行三包:即产品在正常使用情况下发生质量问题时，投标人应按使用方的要求，负责对产品实行包修、包换、包退。2、投标人在质保期内应负责硬件及软件产品的日常维护。（每项1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1CDE9C8B">
            <w:pPr>
              <w:widowControl w:val="0"/>
              <w:kinsoku/>
              <w:autoSpaceDE/>
              <w:autoSpaceDN/>
              <w:spacing w:line="360" w:lineRule="auto"/>
              <w:jc w:val="center"/>
              <w:textAlignment w:val="auto"/>
              <w:rPr>
                <w:rFonts w:ascii="宋体" w:hAnsi="宋体" w:eastAsia="宋体" w:cs="宋体"/>
                <w:color w:val="auto"/>
                <w:sz w:val="24"/>
                <w:szCs w:val="24"/>
              </w:rPr>
            </w:pPr>
          </w:p>
        </w:tc>
      </w:tr>
    </w:tbl>
    <w:p w14:paraId="65C815AC">
      <w:pPr>
        <w:pStyle w:val="2"/>
        <w:spacing w:line="360" w:lineRule="auto"/>
      </w:pPr>
    </w:p>
    <w:p w14:paraId="51C92D32">
      <w:pPr>
        <w:spacing w:line="360" w:lineRule="auto"/>
        <w:ind w:firstLine="482" w:firstLineChars="200"/>
        <w:jc w:val="both"/>
        <w:rPr>
          <w:rFonts w:ascii="宋体" w:hAnsi="宋体" w:eastAsia="宋体" w:cs="宋体"/>
          <w:b/>
          <w:bCs/>
          <w:sz w:val="24"/>
        </w:rPr>
      </w:pPr>
      <w:r>
        <w:rPr>
          <w:rFonts w:hint="eastAsia" w:ascii="宋体" w:hAnsi="宋体" w:eastAsia="宋体" w:cs="宋体"/>
          <w:b/>
          <w:bCs/>
          <w:sz w:val="24"/>
        </w:rPr>
        <w:t>3、价格部分（分值</w:t>
      </w:r>
      <w:r>
        <w:rPr>
          <w:rFonts w:hint="eastAsia" w:ascii="宋体" w:hAnsi="宋体" w:eastAsia="宋体" w:cs="宋体"/>
          <w:b/>
          <w:bCs/>
          <w:sz w:val="24"/>
          <w:lang w:val="en-US" w:eastAsia="zh-CN"/>
        </w:rPr>
        <w:t>50</w:t>
      </w:r>
      <w:r>
        <w:rPr>
          <w:rFonts w:hint="eastAsia" w:ascii="宋体" w:hAnsi="宋体" w:eastAsia="宋体" w:cs="宋体"/>
          <w:b/>
          <w:bCs/>
          <w:sz w:val="24"/>
        </w:rPr>
        <w:t>分）</w:t>
      </w:r>
    </w:p>
    <w:tbl>
      <w:tblPr>
        <w:tblStyle w:val="14"/>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3C6F2AD8">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146FAD1E">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26511EE3">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22A684AB">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343A5255">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4A7F9743">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实得分</w:t>
            </w:r>
          </w:p>
        </w:tc>
      </w:tr>
      <w:tr w14:paraId="7C260A23">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6AEF4816">
            <w:pPr>
              <w:spacing w:line="360" w:lineRule="auto"/>
              <w:jc w:val="center"/>
              <w:rPr>
                <w:rFonts w:ascii="仿宋_GB2312" w:hAnsi="宋体" w:eastAsia="仿宋_GB2312"/>
                <w:sz w:val="24"/>
                <w:szCs w:val="24"/>
                <w:highlight w:val="none"/>
              </w:rPr>
            </w:pPr>
            <w:bookmarkStart w:id="7" w:name="_GoBack"/>
            <w:r>
              <w:rPr>
                <w:rFonts w:hint="eastAsia" w:ascii="仿宋_GB2312" w:hAnsi="宋体" w:eastAsia="仿宋_GB2312"/>
                <w:sz w:val="24"/>
                <w:szCs w:val="24"/>
                <w:highlight w:val="none"/>
              </w:rPr>
              <w:t>1</w:t>
            </w:r>
          </w:p>
        </w:tc>
        <w:tc>
          <w:tcPr>
            <w:tcW w:w="1160" w:type="dxa"/>
            <w:tcBorders>
              <w:top w:val="single" w:color="000000" w:sz="4" w:space="0"/>
              <w:left w:val="single" w:color="000000" w:sz="4" w:space="0"/>
              <w:bottom w:val="single" w:color="000000" w:sz="4" w:space="0"/>
            </w:tcBorders>
            <w:tcMar>
              <w:left w:w="103" w:type="dxa"/>
            </w:tcMar>
            <w:vAlign w:val="center"/>
          </w:tcPr>
          <w:p w14:paraId="6F8CCA9B">
            <w:pPr>
              <w:spacing w:line="360" w:lineRule="auto"/>
              <w:jc w:val="center"/>
              <w:rPr>
                <w:rFonts w:ascii="仿宋_GB2312" w:hAnsi="宋体" w:eastAsia="仿宋_GB2312"/>
                <w:sz w:val="24"/>
                <w:szCs w:val="24"/>
                <w:highlight w:val="none"/>
              </w:rPr>
            </w:pPr>
            <w:r>
              <w:rPr>
                <w:rFonts w:hint="eastAsia" w:ascii="宋体" w:hAnsi="宋体" w:eastAsia="宋体" w:cs="宋体"/>
                <w:sz w:val="24"/>
                <w:szCs w:val="24"/>
                <w:highlight w:val="none"/>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77DD195B">
            <w:pPr>
              <w:spacing w:line="360" w:lineRule="auto"/>
              <w:jc w:val="center"/>
              <w:rPr>
                <w:rFonts w:ascii="仿宋_GB2312" w:hAnsi="宋体" w:eastAsia="仿宋_GB2312"/>
                <w:sz w:val="24"/>
                <w:szCs w:val="24"/>
                <w:highlight w:val="none"/>
              </w:rPr>
            </w:pP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716A12D">
            <w:pPr>
              <w:spacing w:line="360" w:lineRule="auto"/>
              <w:ind w:firstLine="480" w:firstLineChars="200"/>
              <w:rPr>
                <w:rFonts w:hint="eastAsia" w:ascii="宋体" w:hAnsi="宋体"/>
                <w:sz w:val="24"/>
                <w:highlight w:val="none"/>
              </w:rPr>
            </w:pPr>
            <w:r>
              <w:rPr>
                <w:rFonts w:hint="eastAsia" w:ascii="宋体" w:hAnsi="宋体"/>
                <w:sz w:val="24"/>
                <w:highlight w:val="none"/>
              </w:rPr>
              <w:t>价格分应当采用低价优先法计算，即满足招标文件要求且最后报价最低的价格为评标基准价，其价格分为满分。其他供应商的价格分统一按照下列公式计算：</w:t>
            </w:r>
          </w:p>
          <w:p w14:paraId="6386DD5B">
            <w:pPr>
              <w:spacing w:line="360" w:lineRule="auto"/>
              <w:ind w:firstLine="480" w:firstLineChars="200"/>
              <w:rPr>
                <w:rFonts w:hint="eastAsia" w:ascii="宋体" w:hAnsi="宋体"/>
                <w:sz w:val="24"/>
                <w:highlight w:val="none"/>
              </w:rPr>
            </w:pPr>
            <w:r>
              <w:rPr>
                <w:rFonts w:hint="eastAsia" w:ascii="宋体" w:hAnsi="宋体"/>
                <w:sz w:val="24"/>
                <w:highlight w:val="none"/>
              </w:rPr>
              <w:t>报价得分=（评标基准价/最后报价）×100×</w:t>
            </w:r>
            <w:r>
              <w:rPr>
                <w:rFonts w:hint="eastAsia" w:ascii="宋体" w:hAnsi="宋体" w:eastAsia="宋体"/>
                <w:sz w:val="24"/>
                <w:highlight w:val="none"/>
                <w:lang w:val="en-US" w:eastAsia="zh-CN"/>
              </w:rPr>
              <w:t>5</w:t>
            </w:r>
            <w:r>
              <w:rPr>
                <w:rFonts w:hint="eastAsia" w:ascii="宋体" w:hAnsi="宋体"/>
                <w:sz w:val="24"/>
                <w:highlight w:val="none"/>
              </w:rPr>
              <w:t>0%，评审过程中，不得去掉最后报价中的最高报价和最低报价。（保留到小数点后两位，第三位四舍五入。）</w:t>
            </w:r>
          </w:p>
          <w:p w14:paraId="6422A3B0">
            <w:pPr>
              <w:spacing w:line="360" w:lineRule="auto"/>
              <w:ind w:firstLine="480" w:firstLineChars="200"/>
              <w:rPr>
                <w:rFonts w:ascii="宋体"/>
                <w:b/>
                <w:sz w:val="24"/>
                <w:highlight w:val="none"/>
              </w:rPr>
            </w:pPr>
            <w:r>
              <w:rPr>
                <w:rFonts w:hint="eastAsia" w:ascii="宋体" w:hAnsi="宋体"/>
                <w:sz w:val="24"/>
                <w:highlight w:val="none"/>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36B2D549">
            <w:pPr>
              <w:spacing w:line="360" w:lineRule="auto"/>
              <w:rPr>
                <w:rFonts w:ascii="仿宋_GB2312" w:hAnsi="宋体" w:eastAsia="仿宋_GB2312"/>
                <w:sz w:val="24"/>
                <w:szCs w:val="24"/>
                <w:highlight w:val="none"/>
              </w:rPr>
            </w:pPr>
          </w:p>
        </w:tc>
      </w:tr>
      <w:bookmarkEnd w:id="7"/>
    </w:tbl>
    <w:p w14:paraId="5A4318C8">
      <w:pPr>
        <w:spacing w:line="360" w:lineRule="auto"/>
        <w:rPr>
          <w:sz w:val="28"/>
          <w:szCs w:val="36"/>
        </w:rPr>
      </w:pPr>
    </w:p>
    <w:p w14:paraId="3028AB81">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.定标办法</w:t>
      </w:r>
    </w:p>
    <w:p w14:paraId="2C7B2D4E">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.1总得分</w:t>
      </w:r>
    </w:p>
    <w:p w14:paraId="0B029530">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.1各投标人得分 =（</w:t>
      </w:r>
      <w:r>
        <w:rPr>
          <w:rFonts w:hint="eastAsia" w:ascii="宋体" w:hAnsi="宋体" w:eastAsia="宋体" w:cs="宋体"/>
          <w:color w:val="auto"/>
          <w:sz w:val="24"/>
          <w:lang w:val="en-US" w:eastAsia="zh-CN"/>
        </w:rPr>
        <w:t>商务分+</w:t>
      </w:r>
      <w:r>
        <w:rPr>
          <w:rFonts w:hint="eastAsia" w:ascii="宋体" w:hAnsi="宋体"/>
          <w:color w:val="auto"/>
          <w:sz w:val="24"/>
          <w:lang w:val="en-US" w:eastAsia="zh-CN"/>
        </w:rPr>
        <w:t>技术</w:t>
      </w:r>
      <w:r>
        <w:rPr>
          <w:rFonts w:hint="eastAsia" w:ascii="宋体" w:hAnsi="宋体" w:eastAsia="宋体" w:cs="宋体"/>
          <w:color w:val="auto"/>
          <w:sz w:val="24"/>
        </w:rPr>
        <w:t>分+价格分）。</w:t>
      </w:r>
    </w:p>
    <w:p w14:paraId="1654AF81">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22DAB715">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.评标小组评委依据得分高低顺序依次确定中标候选人，评分以得分最高者作为第一中标候选人。如果出现并列得分最高，则确定价格较低者排名在前；价格投标仍相同时则采用抽签方式现场确定中标候选人。</w:t>
      </w:r>
    </w:p>
    <w:p w14:paraId="6A6E57A7">
      <w:pPr>
        <w:spacing w:line="360" w:lineRule="auto"/>
        <w:ind w:firstLine="480" w:firstLineChars="200"/>
        <w:rPr>
          <w:rFonts w:hint="default" w:eastAsia="宋体"/>
          <w:lang w:val="en-US" w:eastAsia="zh-CN"/>
        </w:rPr>
        <w:sectPr>
          <w:headerReference r:id="rId6" w:type="default"/>
          <w:footerReference r:id="rId7" w:type="default"/>
          <w:pgSz w:w="11907" w:h="16839"/>
          <w:pgMar w:top="1432" w:right="1335" w:bottom="1201" w:left="1389" w:header="852" w:footer="1021" w:gutter="0"/>
          <w:cols w:space="720" w:num="1"/>
        </w:sectPr>
      </w:pPr>
      <w:r>
        <w:rPr>
          <w:rFonts w:hint="eastAsia" w:ascii="宋体" w:hAnsi="宋体" w:eastAsia="宋体" w:cs="宋体"/>
          <w:color w:val="auto"/>
          <w:sz w:val="24"/>
          <w:lang w:val="en-US" w:eastAsia="zh-CN"/>
        </w:rPr>
        <w:t>9</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p>
    <w:p w14:paraId="7418E9D6">
      <w:pPr>
        <w:pStyle w:val="2"/>
        <w:spacing w:line="360" w:lineRule="auto"/>
        <w:ind w:left="0" w:leftChars="0" w:firstLine="0" w:firstLineChars="0"/>
        <w:rPr>
          <w:rFonts w:ascii="宋体" w:hAnsi="宋体" w:eastAsia="宋体" w:cs="宋体"/>
          <w:sz w:val="24"/>
          <w:szCs w:val="24"/>
        </w:rPr>
      </w:pPr>
    </w:p>
    <w:p w14:paraId="424CEE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color w:val="auto"/>
          <w:sz w:val="32"/>
          <w:szCs w:val="22"/>
          <w:highlight w:val="none"/>
          <w:lang w:val="en-US" w:eastAsia="zh-CN"/>
        </w:rPr>
      </w:pPr>
      <w:r>
        <w:rPr>
          <w:rFonts w:hint="eastAsia"/>
          <w:b/>
          <w:color w:val="auto"/>
          <w:sz w:val="32"/>
          <w:szCs w:val="22"/>
          <w:highlight w:val="none"/>
          <w:lang w:val="en-US" w:eastAsia="zh-CN"/>
        </w:rPr>
        <w:t>设备采购合同</w:t>
      </w:r>
    </w:p>
    <w:p w14:paraId="7F8912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color w:val="auto"/>
          <w:sz w:val="21"/>
          <w:szCs w:val="21"/>
          <w:highlight w:val="none"/>
        </w:rPr>
      </w:pPr>
      <w:r>
        <w:rPr>
          <w:rFonts w:hint="eastAsia" w:ascii="宋体"/>
          <w:b/>
          <w:color w:val="auto"/>
          <w:sz w:val="21"/>
          <w:szCs w:val="21"/>
          <w:highlight w:val="none"/>
          <w:lang w:val="en-US" w:eastAsia="zh-CN"/>
        </w:rPr>
        <w:t>合同</w:t>
      </w:r>
      <w:r>
        <w:rPr>
          <w:rFonts w:hint="eastAsia" w:ascii="宋体"/>
          <w:b/>
          <w:color w:val="auto"/>
          <w:sz w:val="21"/>
          <w:szCs w:val="21"/>
          <w:highlight w:val="none"/>
        </w:rPr>
        <w:t>编号：</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合同履行地：</w:t>
      </w:r>
      <w:r>
        <w:rPr>
          <w:rFonts w:hint="eastAsia" w:ascii="宋体"/>
          <w:b/>
          <w:bCs/>
          <w:color w:val="auto"/>
          <w:sz w:val="21"/>
          <w:szCs w:val="21"/>
          <w:highlight w:val="none"/>
          <w:lang w:eastAsia="zh-CN"/>
        </w:rPr>
        <w:t>福建省三明市沙县</w:t>
      </w:r>
    </w:p>
    <w:p w14:paraId="78985F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采购方（甲方）</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 xml:space="preserve">中国机械总院集团                    </w:t>
      </w:r>
      <w:r>
        <w:rPr>
          <w:rFonts w:hint="eastAsia" w:ascii="宋体"/>
          <w:b/>
          <w:bCs/>
          <w:color w:val="auto"/>
          <w:sz w:val="21"/>
          <w:szCs w:val="21"/>
          <w:highlight w:val="none"/>
        </w:rPr>
        <w:t>签定地点：</w:t>
      </w:r>
      <w:r>
        <w:rPr>
          <w:rFonts w:hint="eastAsia" w:ascii="宋体"/>
          <w:b/>
          <w:bCs/>
          <w:color w:val="auto"/>
          <w:sz w:val="21"/>
          <w:szCs w:val="21"/>
          <w:highlight w:val="none"/>
          <w:lang w:eastAsia="zh-CN"/>
        </w:rPr>
        <w:t>福建省三明市沙县</w:t>
      </w:r>
      <w:r>
        <w:rPr>
          <w:rFonts w:ascii="宋体"/>
          <w:b/>
          <w:bCs/>
          <w:color w:val="auto"/>
          <w:sz w:val="21"/>
          <w:szCs w:val="21"/>
          <w:highlight w:val="none"/>
        </w:rPr>
        <w:t xml:space="preserve"> </w:t>
      </w:r>
    </w:p>
    <w:p w14:paraId="6DA158AB">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海西（福建）分院有限公司     </w:t>
      </w:r>
    </w:p>
    <w:p w14:paraId="67FC9CC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供货方（乙方）：         有限公司 </w:t>
      </w:r>
      <w:r>
        <w:rPr>
          <w:rFonts w:hint="eastAsia" w:ascii="宋体" w:hAnsi="宋体" w:cs="宋体"/>
          <w:color w:val="auto"/>
          <w:sz w:val="21"/>
          <w:szCs w:val="21"/>
          <w:highlight w:val="none"/>
          <w:lang w:val="en-US" w:eastAsia="zh-CN"/>
        </w:rPr>
        <w:t xml:space="preserve">                   </w:t>
      </w:r>
      <w:r>
        <w:rPr>
          <w:rFonts w:hint="eastAsia" w:ascii="宋体"/>
          <w:b/>
          <w:color w:val="auto"/>
          <w:sz w:val="21"/>
          <w:szCs w:val="21"/>
          <w:highlight w:val="none"/>
        </w:rPr>
        <w:t>签定日期：</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年</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月</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日</w:t>
      </w:r>
    </w:p>
    <w:p w14:paraId="52A8E351">
      <w:pPr>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cs="宋体"/>
          <w:color w:val="auto"/>
          <w:sz w:val="21"/>
          <w:szCs w:val="21"/>
          <w:highlight w:val="none"/>
          <w:lang w:val="en-US" w:eastAsia="zh-CN"/>
        </w:rPr>
        <w:t>民法典</w:t>
      </w:r>
      <w:r>
        <w:rPr>
          <w:rFonts w:hint="eastAsia" w:ascii="宋体" w:hAnsi="宋体" w:eastAsia="宋体" w:cs="宋体"/>
          <w:color w:val="auto"/>
          <w:sz w:val="21"/>
          <w:szCs w:val="21"/>
          <w:highlight w:val="none"/>
        </w:rPr>
        <w:t>和有关政策规定，根据</w:t>
      </w:r>
      <w:r>
        <w:rPr>
          <w:rFonts w:hint="eastAsia" w:ascii="宋体" w:hAnsi="宋体" w:cs="宋体"/>
          <w:color w:val="auto"/>
          <w:sz w:val="21"/>
          <w:szCs w:val="21"/>
          <w:highlight w:val="none"/>
          <w:lang w:val="en-US" w:eastAsia="zh-CN"/>
        </w:rPr>
        <w:t>双方需求</w:t>
      </w:r>
      <w:r>
        <w:rPr>
          <w:rFonts w:hint="eastAsia" w:ascii="宋体" w:hAnsi="宋体" w:eastAsia="宋体" w:cs="宋体"/>
          <w:color w:val="auto"/>
          <w:sz w:val="21"/>
          <w:szCs w:val="21"/>
          <w:highlight w:val="none"/>
        </w:rPr>
        <w:t>，经双方协商一致签订本合同。</w:t>
      </w:r>
    </w:p>
    <w:p w14:paraId="01B94823">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产品</w:t>
      </w:r>
      <w:r>
        <w:rPr>
          <w:rFonts w:hint="eastAsia" w:ascii="宋体" w:hAnsi="宋体" w:eastAsia="宋体" w:cs="宋体"/>
          <w:b/>
          <w:bCs/>
          <w:color w:val="auto"/>
          <w:sz w:val="21"/>
          <w:szCs w:val="21"/>
          <w:highlight w:val="none"/>
        </w:rPr>
        <w:t>名称、规格、数量、价格</w:t>
      </w:r>
    </w:p>
    <w:tbl>
      <w:tblPr>
        <w:tblStyle w:val="14"/>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2693"/>
        <w:gridCol w:w="850"/>
        <w:gridCol w:w="1418"/>
        <w:gridCol w:w="1417"/>
      </w:tblGrid>
      <w:tr w14:paraId="440C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09" w:type="dxa"/>
            <w:vAlign w:val="center"/>
          </w:tcPr>
          <w:p w14:paraId="1D78338D">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序号</w:t>
            </w:r>
          </w:p>
        </w:tc>
        <w:tc>
          <w:tcPr>
            <w:tcW w:w="1985" w:type="dxa"/>
            <w:vAlign w:val="center"/>
          </w:tcPr>
          <w:p w14:paraId="5666BF9C">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产品品名</w:t>
            </w:r>
          </w:p>
        </w:tc>
        <w:tc>
          <w:tcPr>
            <w:tcW w:w="2693" w:type="dxa"/>
            <w:vAlign w:val="center"/>
          </w:tcPr>
          <w:p w14:paraId="4EF50737">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w:t>
            </w:r>
            <w:r>
              <w:rPr>
                <w:rFonts w:cs="Times New Roman" w:asciiTheme="minorEastAsia" w:hAnsiTheme="minorEastAsia" w:eastAsiaTheme="minorEastAsia"/>
                <w:color w:val="auto"/>
                <w:sz w:val="23"/>
                <w:szCs w:val="23"/>
                <w:highlight w:val="none"/>
                <w:lang w:eastAsia="zh-CN"/>
              </w:rPr>
              <w:t>规格型号</w:t>
            </w:r>
          </w:p>
          <w:p w14:paraId="60C1ED8C">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（基本配置及主要性能）</w:t>
            </w:r>
          </w:p>
        </w:tc>
        <w:tc>
          <w:tcPr>
            <w:tcW w:w="850" w:type="dxa"/>
            <w:vAlign w:val="center"/>
          </w:tcPr>
          <w:p w14:paraId="418F4644">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数量</w:t>
            </w:r>
          </w:p>
        </w:tc>
        <w:tc>
          <w:tcPr>
            <w:tcW w:w="1418" w:type="dxa"/>
            <w:vAlign w:val="center"/>
          </w:tcPr>
          <w:p w14:paraId="77F4811A">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含税单价</w:t>
            </w:r>
          </w:p>
        </w:tc>
        <w:tc>
          <w:tcPr>
            <w:tcW w:w="1417" w:type="dxa"/>
            <w:vAlign w:val="center"/>
          </w:tcPr>
          <w:p w14:paraId="4FB4871C">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价税合计</w:t>
            </w:r>
          </w:p>
        </w:tc>
      </w:tr>
      <w:tr w14:paraId="7DD2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14:paraId="2B19B93F">
            <w:pPr>
              <w:spacing w:before="120" w:after="0" w:line="360" w:lineRule="exact"/>
              <w:jc w:val="center"/>
              <w:rPr>
                <w:rFonts w:cs="Times New Roman" w:asciiTheme="minorEastAsia" w:hAnsiTheme="minorEastAsia" w:eastAsiaTheme="minorEastAsia"/>
                <w:color w:val="auto"/>
                <w:sz w:val="23"/>
                <w:szCs w:val="23"/>
                <w:highlight w:val="none"/>
                <w:lang w:eastAsia="zh-CN"/>
              </w:rPr>
            </w:pPr>
          </w:p>
        </w:tc>
        <w:tc>
          <w:tcPr>
            <w:tcW w:w="1985" w:type="dxa"/>
            <w:vAlign w:val="center"/>
          </w:tcPr>
          <w:p w14:paraId="418B0D84">
            <w:pPr>
              <w:keepNext/>
              <w:keepLines/>
              <w:widowControl w:val="0"/>
              <w:adjustRightInd w:val="0"/>
              <w:spacing w:before="120" w:after="0" w:line="360" w:lineRule="exact"/>
              <w:textAlignment w:val="baseline"/>
              <w:outlineLvl w:val="0"/>
              <w:rPr>
                <w:rFonts w:cs="Times New Roman" w:asciiTheme="minorEastAsia" w:hAnsiTheme="minorEastAsia" w:eastAsiaTheme="minorEastAsia"/>
                <w:color w:val="auto"/>
                <w:sz w:val="23"/>
                <w:szCs w:val="23"/>
                <w:highlight w:val="none"/>
                <w:lang w:eastAsia="zh-CN"/>
              </w:rPr>
            </w:pPr>
          </w:p>
        </w:tc>
        <w:tc>
          <w:tcPr>
            <w:tcW w:w="2693" w:type="dxa"/>
            <w:vAlign w:val="center"/>
          </w:tcPr>
          <w:p w14:paraId="2259E5C4">
            <w:pPr>
              <w:keepNext/>
              <w:keepLines/>
              <w:widowControl w:val="0"/>
              <w:adjustRightInd w:val="0"/>
              <w:spacing w:before="120" w:after="0" w:line="360" w:lineRule="exact"/>
              <w:textAlignment w:val="baseline"/>
              <w:outlineLvl w:val="0"/>
              <w:rPr>
                <w:rFonts w:cs="Times New Roman" w:asciiTheme="minorEastAsia" w:hAnsiTheme="minorEastAsia" w:eastAsiaTheme="minorEastAsia"/>
                <w:color w:val="auto"/>
                <w:sz w:val="23"/>
                <w:szCs w:val="23"/>
                <w:highlight w:val="none"/>
                <w:lang w:eastAsia="zh-CN"/>
              </w:rPr>
            </w:pPr>
          </w:p>
        </w:tc>
        <w:tc>
          <w:tcPr>
            <w:tcW w:w="850" w:type="dxa"/>
            <w:vAlign w:val="center"/>
          </w:tcPr>
          <w:p w14:paraId="68E6BC4F">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c>
          <w:tcPr>
            <w:tcW w:w="1418" w:type="dxa"/>
            <w:vAlign w:val="center"/>
          </w:tcPr>
          <w:p w14:paraId="582E6DA8">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c>
          <w:tcPr>
            <w:tcW w:w="1417" w:type="dxa"/>
            <w:vAlign w:val="center"/>
          </w:tcPr>
          <w:p w14:paraId="68BA11AE">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r>
      <w:tr w14:paraId="654F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72" w:type="dxa"/>
            <w:gridSpan w:val="6"/>
            <w:vAlign w:val="center"/>
          </w:tcPr>
          <w:p w14:paraId="3F515305">
            <w:pPr>
              <w:spacing w:before="120" w:after="0" w:line="360" w:lineRule="exact"/>
              <w:rPr>
                <w:rFonts w:hint="default" w:cs="宋体"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eastAsia="zh-CN"/>
              </w:rPr>
              <w:t>合计（未税金额）：</w:t>
            </w:r>
            <w:r>
              <w:rPr>
                <w:rFonts w:hint="eastAsia" w:cs="Times New Roman" w:asciiTheme="minorEastAsia" w:hAnsiTheme="minorEastAsia" w:eastAsiaTheme="minorEastAsia"/>
                <w:color w:val="auto"/>
                <w:sz w:val="23"/>
                <w:szCs w:val="23"/>
                <w:highlight w:val="none"/>
                <w:lang w:val="en-US" w:eastAsia="zh-CN"/>
              </w:rPr>
              <w:t xml:space="preserve">   元</w:t>
            </w:r>
          </w:p>
        </w:tc>
      </w:tr>
      <w:tr w14:paraId="170D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72" w:type="dxa"/>
            <w:gridSpan w:val="6"/>
            <w:vAlign w:val="center"/>
          </w:tcPr>
          <w:p w14:paraId="35CA0073">
            <w:pPr>
              <w:spacing w:before="120" w:after="0" w:line="360" w:lineRule="exact"/>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合计（含税金额）：</w:t>
            </w:r>
            <w:r>
              <w:rPr>
                <w:rFonts w:hint="eastAsia" w:cs="Times New Roman" w:asciiTheme="minorEastAsia" w:hAnsiTheme="minorEastAsia" w:eastAsiaTheme="minorEastAsia"/>
                <w:color w:val="auto"/>
                <w:sz w:val="23"/>
                <w:szCs w:val="23"/>
                <w:highlight w:val="none"/>
                <w:lang w:val="en-US" w:eastAsia="zh-CN"/>
              </w:rPr>
              <w:t xml:space="preserve">   </w:t>
            </w:r>
            <w:r>
              <w:rPr>
                <w:rFonts w:hint="eastAsia"/>
                <w:color w:val="auto"/>
                <w:highlight w:val="none"/>
                <w:lang w:eastAsia="zh-CN"/>
              </w:rPr>
              <w:t>元</w:t>
            </w:r>
            <w:r>
              <w:rPr>
                <w:rFonts w:hint="eastAsia"/>
                <w:color w:val="auto"/>
                <w:highlight w:val="none"/>
              </w:rPr>
              <w:t xml:space="preserve"> </w:t>
            </w:r>
            <w:r>
              <w:rPr>
                <w:color w:val="auto"/>
                <w:highlight w:val="none"/>
              </w:rPr>
              <w:t xml:space="preserve">  </w:t>
            </w:r>
            <w:r>
              <w:rPr>
                <w:rFonts w:hint="eastAsia"/>
                <w:color w:val="auto"/>
                <w:highlight w:val="none"/>
                <w:lang w:val="en-US" w:eastAsia="zh-CN"/>
              </w:rPr>
              <w:t xml:space="preserve">     ，大写：       </w:t>
            </w:r>
            <w:r>
              <w:rPr>
                <w:rFonts w:hint="eastAsia"/>
                <w:color w:val="auto"/>
                <w:highlight w:val="none"/>
                <w:lang w:eastAsia="zh-CN"/>
              </w:rPr>
              <w:t>元整</w:t>
            </w:r>
          </w:p>
        </w:tc>
      </w:tr>
    </w:tbl>
    <w:p w14:paraId="3BB502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注：币种为人民币 ，若双方无其他明确约定，上述价格含13%增值税。本合同以未税金额为准，如开票时税率发生变更，含税金额应做相应调整。</w:t>
      </w:r>
    </w:p>
    <w:p w14:paraId="188E5084">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质量要求技术标准</w:t>
      </w:r>
      <w:r>
        <w:rPr>
          <w:rFonts w:hint="eastAsia" w:ascii="宋体" w:hAnsi="宋体" w:cs="宋体"/>
          <w:b/>
          <w:bCs/>
          <w:color w:val="auto"/>
          <w:sz w:val="21"/>
          <w:szCs w:val="21"/>
          <w:highlight w:val="none"/>
          <w:lang w:val="en-US" w:eastAsia="zh-CN"/>
        </w:rPr>
        <w:t>及质保期：</w:t>
      </w:r>
    </w:p>
    <w:p w14:paraId="413BB5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1、按国家标准验收，乙方随货附生产方产品检测报告。</w:t>
      </w:r>
    </w:p>
    <w:p w14:paraId="6D271D5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2、</w:t>
      </w:r>
      <w:r>
        <w:rPr>
          <w:rFonts w:hint="eastAsia" w:ascii="宋体" w:hAnsi="宋体" w:cs="宋体"/>
          <w:color w:val="auto"/>
          <w:sz w:val="21"/>
          <w:szCs w:val="21"/>
          <w:highlight w:val="none"/>
          <w:lang w:val="en-US" w:eastAsia="zh-CN"/>
        </w:rPr>
        <w:t>产品质保期为最终验收之日起12个月。</w:t>
      </w:r>
    </w:p>
    <w:p w14:paraId="35B86DA7">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3、</w:t>
      </w:r>
      <w:r>
        <w:rPr>
          <w:rFonts w:hint="eastAsia" w:ascii="宋体" w:hAnsi="宋体" w:cs="宋体"/>
          <w:color w:val="auto"/>
          <w:sz w:val="21"/>
          <w:szCs w:val="21"/>
          <w:highlight w:val="none"/>
          <w:lang w:val="en-US" w:eastAsia="zh-CN"/>
        </w:rPr>
        <w:t>乙方作出书面质保承诺的，乙方应严格履行。</w:t>
      </w:r>
    </w:p>
    <w:p w14:paraId="42856B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4、双方确定的其他要求：</w:t>
      </w:r>
    </w:p>
    <w:p w14:paraId="481AE3E2">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5280" w:hanging="5042" w:hangingChars="2400"/>
        <w:jc w:val="both"/>
        <w:textAlignment w:val="auto"/>
        <w:rPr>
          <w:rFonts w:hint="eastAsia" w:ascii="宋体" w:hAnsi="宋体" w:cs="宋体"/>
          <w:color w:val="auto"/>
          <w:sz w:val="21"/>
          <w:szCs w:val="21"/>
          <w:highlight w:val="none"/>
          <w:lang w:eastAsia="zh-CN"/>
        </w:rPr>
      </w:pPr>
      <w:r>
        <w:rPr>
          <w:rFonts w:hint="eastAsia" w:ascii="宋体" w:hAnsi="宋体" w:cs="宋体"/>
          <w:b/>
          <w:bCs/>
          <w:color w:val="auto"/>
          <w:sz w:val="21"/>
          <w:szCs w:val="21"/>
          <w:highlight w:val="none"/>
          <w:lang w:val="en-US" w:eastAsia="zh-CN"/>
        </w:rPr>
        <w:t>交货时间及交提货地点、方式：</w:t>
      </w:r>
    </w:p>
    <w:p w14:paraId="4AEA18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1、乙方自合同生效后     天内向甲方交付货物，乙方在交货前有提前告知义务，应提前24小时通知甲方，若未提前通知造成甲方无法签收，由此产生的损失由乙方承担。（对于分期交付货物的情况，合同中需明确约定交货的次数，每次交货的时间及数量）     </w:t>
      </w:r>
    </w:p>
    <w:p w14:paraId="28AE0E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2、乙方负责送货至甲方指定地点：       ，     方自行卸货。</w:t>
      </w:r>
    </w:p>
    <w:p w14:paraId="0D5C6A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3、甲方指定接货联系人：          ，电话：           。     </w:t>
      </w:r>
    </w:p>
    <w:p w14:paraId="065E01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四、产品验收：</w:t>
      </w:r>
    </w:p>
    <w:p w14:paraId="4E02B7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1、甲方于产品到达指定交货地点之日起     （小时/天）内进行验收完毕，由甲方指派（姓名、联系电话）              ，乙方指派（姓名、联系电话）                在场共同签署正式验收报告结果为“合格”时，方视为产品通过的正式验收。（此处合格指的是规格和数量及破损，不包括产品功能是否合格）</w:t>
      </w:r>
    </w:p>
    <w:p w14:paraId="096850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2、如产品存在重大不符合约定的，经乙方两次整改后仍不满足要求的，甲方有权拒绝接收产品或退回产品或解除合同，并由乙方承担因此给甲方造成的损失。</w:t>
      </w:r>
    </w:p>
    <w:p w14:paraId="5A338F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3、甲方对产品的验收合格并不免除乙方的产品质量保证期限内的相责任。</w:t>
      </w:r>
    </w:p>
    <w:p w14:paraId="388204EB">
      <w:pPr>
        <w:keepNext w:val="0"/>
        <w:keepLines w:val="0"/>
        <w:pageBreakBefore w:val="0"/>
        <w:widowControl w:val="0"/>
        <w:kinsoku/>
        <w:wordWrap/>
        <w:overflowPunct/>
        <w:topLinePunct w:val="0"/>
        <w:autoSpaceDE/>
        <w:autoSpaceDN/>
        <w:bidi w:val="0"/>
        <w:adjustRightInd/>
        <w:snapToGrid/>
        <w:spacing w:line="360" w:lineRule="auto"/>
        <w:ind w:left="5280" w:hanging="5042" w:hangingChars="2400"/>
        <w:jc w:val="left"/>
        <w:textAlignment w:val="auto"/>
        <w:rPr>
          <w:rFonts w:hint="eastAsia" w:ascii="宋体"/>
          <w:color w:val="auto"/>
          <w:sz w:val="21"/>
          <w:szCs w:val="21"/>
          <w:highlight w:val="none"/>
          <w:lang w:val="en-US" w:eastAsia="zh-CN"/>
        </w:rPr>
      </w:pPr>
      <w:r>
        <w:rPr>
          <w:rFonts w:hint="eastAsia" w:ascii="宋体" w:hAnsi="宋体" w:cs="宋体"/>
          <w:b/>
          <w:bCs/>
          <w:color w:val="auto"/>
          <w:sz w:val="21"/>
          <w:szCs w:val="21"/>
          <w:highlight w:val="none"/>
          <w:lang w:val="en-US" w:eastAsia="zh-CN"/>
        </w:rPr>
        <w:t>五</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运输方式和费用承担：</w:t>
      </w:r>
      <w:r>
        <w:rPr>
          <w:rFonts w:hint="eastAsia" w:ascii="宋体" w:hAnsi="宋体" w:cs="宋体"/>
          <w:color w:val="auto"/>
          <w:sz w:val="21"/>
          <w:szCs w:val="21"/>
          <w:highlight w:val="none"/>
          <w:lang w:val="en-US" w:eastAsia="zh-CN"/>
        </w:rPr>
        <w:t xml:space="preserve">       ，    方承担运费。</w:t>
      </w:r>
    </w:p>
    <w:p w14:paraId="3EAC811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default" w:ascii="宋体" w:hAnsi="宋体" w:eastAsia="宋体" w:cs="宋体"/>
          <w:b/>
          <w:bCs/>
          <w:color w:val="auto"/>
          <w:sz w:val="21"/>
          <w:szCs w:val="21"/>
          <w:highlight w:val="none"/>
          <w:lang w:val="en-US" w:eastAsia="zh-CN"/>
        </w:rPr>
        <w:t>价款支付</w:t>
      </w:r>
      <w:r>
        <w:rPr>
          <w:rFonts w:hint="eastAsia" w:ascii="宋体" w:hAnsi="宋体" w:eastAsia="宋体" w:cs="宋体"/>
          <w:b/>
          <w:bCs/>
          <w:color w:val="auto"/>
          <w:sz w:val="21"/>
          <w:szCs w:val="21"/>
          <w:highlight w:val="none"/>
        </w:rPr>
        <w:t>：</w:t>
      </w:r>
    </w:p>
    <w:p w14:paraId="2C2C74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结算方式：</w:t>
      </w:r>
      <w:r>
        <w:rPr>
          <w:rFonts w:hint="default" w:ascii="宋体"/>
          <w:color w:val="auto"/>
          <w:sz w:val="21"/>
          <w:szCs w:val="21"/>
          <w:highlight w:val="none"/>
          <w:lang w:val="en-US" w:eastAsia="zh-CN"/>
        </w:rPr>
        <w:t>□</w:t>
      </w:r>
      <w:r>
        <w:rPr>
          <w:rFonts w:hint="eastAsia" w:ascii="宋体"/>
          <w:color w:val="auto"/>
          <w:sz w:val="21"/>
          <w:szCs w:val="21"/>
          <w:highlight w:val="none"/>
          <w:lang w:val="en-US" w:eastAsia="zh-CN"/>
        </w:rPr>
        <w:t xml:space="preserve">银行转账   </w:t>
      </w:r>
      <w:r>
        <w:rPr>
          <w:rFonts w:hint="default" w:ascii="宋体"/>
          <w:color w:val="auto"/>
          <w:sz w:val="21"/>
          <w:szCs w:val="21"/>
          <w:highlight w:val="none"/>
          <w:lang w:val="en-US" w:eastAsia="zh-CN"/>
        </w:rPr>
        <w:t>□</w:t>
      </w:r>
      <w:r>
        <w:rPr>
          <w:rFonts w:hint="eastAsia" w:ascii="宋体"/>
          <w:color w:val="auto"/>
          <w:sz w:val="21"/>
          <w:szCs w:val="21"/>
          <w:highlight w:val="none"/>
          <w:lang w:val="en-US" w:eastAsia="zh-CN"/>
        </w:rPr>
        <w:t>银行电子承兑</w:t>
      </w:r>
    </w:p>
    <w:p w14:paraId="3C70F8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甲乙</w:t>
      </w:r>
      <w:r>
        <w:rPr>
          <w:rFonts w:hint="default" w:ascii="宋体"/>
          <w:color w:val="auto"/>
          <w:sz w:val="21"/>
          <w:szCs w:val="21"/>
          <w:highlight w:val="none"/>
          <w:lang w:val="en-US" w:eastAsia="zh-CN"/>
        </w:rPr>
        <w:t>双方同意按以下方式支付合同价款：</w:t>
      </w:r>
    </w:p>
    <w:p w14:paraId="7D5DCB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 一次性付款</w:t>
      </w:r>
    </w:p>
    <w:p w14:paraId="418BD2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合同产品验收合格且</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收到</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开具合格全额增值税发票后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天内付款。</w:t>
      </w:r>
    </w:p>
    <w:p w14:paraId="45F149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 分期支付</w:t>
      </w:r>
    </w:p>
    <w:p w14:paraId="3812BA4D">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本合同生效后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向</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支付合同总价款的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元（大写人民币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）作为预付款；</w:t>
      </w:r>
    </w:p>
    <w:p w14:paraId="4FF94219">
      <w:pPr>
        <w:pStyle w:val="2"/>
        <w:rPr>
          <w:rFonts w:hint="default"/>
          <w:lang w:val="en-US" w:eastAsia="zh-CN"/>
        </w:rPr>
      </w:pPr>
      <w:r>
        <w:rPr>
          <w:rFonts w:hint="default" w:ascii="宋体"/>
          <w:color w:val="auto"/>
          <w:sz w:val="21"/>
          <w:szCs w:val="21"/>
          <w:highlight w:val="none"/>
          <w:lang w:val="en-US" w:eastAsia="zh-CN"/>
        </w:rPr>
        <w:t>2、预验收合格发货前，由甲方支付合同总价款的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元（大写人民币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）作为提货款</w:t>
      </w:r>
      <w:r>
        <w:rPr>
          <w:rFonts w:hint="default"/>
          <w:lang w:val="en-US" w:eastAsia="zh-CN"/>
        </w:rPr>
        <w:t>；</w:t>
      </w:r>
    </w:p>
    <w:p w14:paraId="389CB11C">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产品经</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验收入库且收到</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开具</w:t>
      </w:r>
      <w:r>
        <w:rPr>
          <w:rFonts w:hint="eastAsia" w:ascii="宋体"/>
          <w:color w:val="auto"/>
          <w:sz w:val="21"/>
          <w:szCs w:val="21"/>
          <w:highlight w:val="none"/>
          <w:lang w:val="en-US" w:eastAsia="zh-CN"/>
        </w:rPr>
        <w:t>的</w:t>
      </w:r>
      <w:r>
        <w:rPr>
          <w:rFonts w:hint="default" w:ascii="宋体"/>
          <w:color w:val="auto"/>
          <w:sz w:val="21"/>
          <w:szCs w:val="21"/>
          <w:highlight w:val="none"/>
          <w:lang w:val="en-US" w:eastAsia="zh-CN"/>
        </w:rPr>
        <w:t>合同全额税率为13%的增值税专用发票后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天内，由</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支付合同总价款</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）作为到货款；</w:t>
      </w:r>
    </w:p>
    <w:p w14:paraId="46862FA0">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合同总价的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）为产品的质保金，本合同约定的质保期满后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天内，双方就合同产品若无未解决的质量问题，由</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支付</w:t>
      </w:r>
      <w:r>
        <w:rPr>
          <w:rFonts w:hint="eastAsia" w:ascii="宋体"/>
          <w:color w:val="auto"/>
          <w:sz w:val="21"/>
          <w:szCs w:val="21"/>
          <w:highlight w:val="none"/>
          <w:lang w:val="en-US" w:eastAsia="zh-CN"/>
        </w:rPr>
        <w:t>给乙方</w:t>
      </w:r>
      <w:r>
        <w:rPr>
          <w:rFonts w:hint="default" w:ascii="宋体"/>
          <w:color w:val="auto"/>
          <w:sz w:val="21"/>
          <w:szCs w:val="21"/>
          <w:highlight w:val="none"/>
          <w:lang w:val="en-US" w:eastAsia="zh-CN"/>
        </w:rPr>
        <w:t>。</w:t>
      </w:r>
    </w:p>
    <w:p w14:paraId="3AAB6C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4、</w:t>
      </w:r>
      <w:r>
        <w:rPr>
          <w:rFonts w:hint="default" w:ascii="宋体"/>
          <w:color w:val="auto"/>
          <w:sz w:val="21"/>
          <w:szCs w:val="21"/>
          <w:highlight w:val="none"/>
          <w:lang w:val="en-US" w:eastAsia="zh-CN"/>
        </w:rPr>
        <w:t>如乙方不开具或开具不合格的发票，甲方有权迟延支付应付款项直至乙方开具合格票据且不承担任何违约责任，且乙方的各项合同义务仍应按合同约定履行。</w:t>
      </w:r>
    </w:p>
    <w:p w14:paraId="550132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5、</w:t>
      </w:r>
      <w:r>
        <w:rPr>
          <w:rFonts w:hint="default" w:ascii="宋体"/>
          <w:color w:val="auto"/>
          <w:sz w:val="21"/>
          <w:szCs w:val="21"/>
          <w:highlight w:val="none"/>
          <w:lang w:val="en-US" w:eastAsia="zh-CN"/>
        </w:rPr>
        <w:t>由于乙方开具发票不真实、不合格而引起的一切责任（包括商业责任和法律责任)和损失，由乙方承担。</w:t>
      </w:r>
    </w:p>
    <w:p w14:paraId="2C3123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6、</w:t>
      </w:r>
      <w:r>
        <w:rPr>
          <w:rFonts w:hint="default" w:ascii="宋体"/>
          <w:color w:val="auto"/>
          <w:sz w:val="21"/>
          <w:szCs w:val="21"/>
          <w:highlight w:val="none"/>
          <w:lang w:val="en-US" w:eastAsia="zh-CN"/>
        </w:rPr>
        <w:t>双方开票信息如下：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3962"/>
        <w:gridCol w:w="3247"/>
      </w:tblGrid>
      <w:tr w14:paraId="7879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2DF0907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c>
          <w:tcPr>
            <w:tcW w:w="3962" w:type="dxa"/>
          </w:tcPr>
          <w:p w14:paraId="20147BF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甲方：</w:t>
            </w:r>
          </w:p>
        </w:tc>
        <w:tc>
          <w:tcPr>
            <w:tcW w:w="3247" w:type="dxa"/>
          </w:tcPr>
          <w:p w14:paraId="59A9709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乙方：</w:t>
            </w:r>
          </w:p>
        </w:tc>
      </w:tr>
      <w:tr w14:paraId="6320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3F9BA5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户  名</w:t>
            </w:r>
          </w:p>
        </w:tc>
        <w:tc>
          <w:tcPr>
            <w:tcW w:w="3962" w:type="dxa"/>
          </w:tcPr>
          <w:p w14:paraId="73A5465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中国机械总院集团海西（福建）分院有限公司</w:t>
            </w:r>
          </w:p>
        </w:tc>
        <w:tc>
          <w:tcPr>
            <w:tcW w:w="3247" w:type="dxa"/>
          </w:tcPr>
          <w:p w14:paraId="6CFDA36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558A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5FE7364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开户行</w:t>
            </w:r>
          </w:p>
        </w:tc>
        <w:tc>
          <w:tcPr>
            <w:tcW w:w="3962" w:type="dxa"/>
          </w:tcPr>
          <w:p w14:paraId="0BD6677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中国农业银行沙县支行</w:t>
            </w:r>
          </w:p>
        </w:tc>
        <w:tc>
          <w:tcPr>
            <w:tcW w:w="3247" w:type="dxa"/>
          </w:tcPr>
          <w:p w14:paraId="76D8739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619D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2D1F27A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账  号</w:t>
            </w:r>
          </w:p>
        </w:tc>
        <w:tc>
          <w:tcPr>
            <w:tcW w:w="3962" w:type="dxa"/>
          </w:tcPr>
          <w:p w14:paraId="05B416C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13840101040017600</w:t>
            </w:r>
          </w:p>
        </w:tc>
        <w:tc>
          <w:tcPr>
            <w:tcW w:w="3247" w:type="dxa"/>
          </w:tcPr>
          <w:p w14:paraId="78C8107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2877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5B37D38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税  号</w:t>
            </w:r>
          </w:p>
        </w:tc>
        <w:tc>
          <w:tcPr>
            <w:tcW w:w="3962" w:type="dxa"/>
          </w:tcPr>
          <w:p w14:paraId="5B54979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913504270603757361</w:t>
            </w:r>
          </w:p>
        </w:tc>
        <w:tc>
          <w:tcPr>
            <w:tcW w:w="3247" w:type="dxa"/>
          </w:tcPr>
          <w:p w14:paraId="18ABF94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583A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2868D5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电  话</w:t>
            </w:r>
          </w:p>
        </w:tc>
        <w:tc>
          <w:tcPr>
            <w:tcW w:w="3962" w:type="dxa"/>
          </w:tcPr>
          <w:p w14:paraId="07A91E6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0598-8863008</w:t>
            </w:r>
          </w:p>
        </w:tc>
        <w:tc>
          <w:tcPr>
            <w:tcW w:w="3247" w:type="dxa"/>
          </w:tcPr>
          <w:p w14:paraId="3DDBEDB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bl>
    <w:p w14:paraId="43457DF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lang w:val="en-US" w:eastAsia="zh-CN"/>
        </w:rPr>
      </w:pPr>
    </w:p>
    <w:p w14:paraId="44B89C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：违约责任：</w:t>
      </w:r>
    </w:p>
    <w:p w14:paraId="1CFFEE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1、</w:t>
      </w:r>
      <w:r>
        <w:rPr>
          <w:rFonts w:hint="eastAsia" w:ascii="宋体"/>
          <w:color w:val="auto"/>
          <w:sz w:val="21"/>
          <w:szCs w:val="21"/>
          <w:highlight w:val="none"/>
          <w:lang w:eastAsia="zh-CN"/>
        </w:rPr>
        <w:t>乙方</w:t>
      </w:r>
      <w:r>
        <w:rPr>
          <w:rFonts w:hint="eastAsia" w:ascii="宋体"/>
          <w:color w:val="auto"/>
          <w:sz w:val="21"/>
          <w:szCs w:val="21"/>
          <w:highlight w:val="none"/>
        </w:rPr>
        <w:t>未按约定按时履约的，每逾期一日，按照相应产品的总价款的0.1％向</w:t>
      </w:r>
      <w:r>
        <w:rPr>
          <w:rFonts w:hint="eastAsia" w:ascii="宋体"/>
          <w:color w:val="auto"/>
          <w:sz w:val="21"/>
          <w:szCs w:val="21"/>
          <w:highlight w:val="none"/>
          <w:lang w:eastAsia="zh-CN"/>
        </w:rPr>
        <w:t>甲方</w:t>
      </w:r>
      <w:r>
        <w:rPr>
          <w:rFonts w:hint="eastAsia" w:ascii="宋体"/>
          <w:color w:val="auto"/>
          <w:sz w:val="21"/>
          <w:szCs w:val="21"/>
          <w:highlight w:val="none"/>
        </w:rPr>
        <w:t>支付违约金。若逾期超过60日，</w:t>
      </w:r>
      <w:r>
        <w:rPr>
          <w:rFonts w:hint="eastAsia" w:ascii="宋体"/>
          <w:color w:val="auto"/>
          <w:sz w:val="21"/>
          <w:szCs w:val="21"/>
          <w:highlight w:val="none"/>
          <w:lang w:eastAsia="zh-CN"/>
        </w:rPr>
        <w:t>甲方</w:t>
      </w:r>
      <w:r>
        <w:rPr>
          <w:rFonts w:hint="eastAsia" w:ascii="宋体"/>
          <w:color w:val="auto"/>
          <w:sz w:val="21"/>
          <w:szCs w:val="21"/>
          <w:highlight w:val="none"/>
        </w:rPr>
        <w:t>可单方解除本合同或取消对相应产品的采购，</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3</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p>
    <w:p w14:paraId="1662CE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2、</w:t>
      </w:r>
      <w:r>
        <w:rPr>
          <w:rFonts w:hint="eastAsia" w:ascii="宋体"/>
          <w:color w:val="auto"/>
          <w:sz w:val="21"/>
          <w:szCs w:val="21"/>
          <w:highlight w:val="none"/>
          <w:lang w:eastAsia="zh-CN"/>
        </w:rPr>
        <w:t>甲方</w:t>
      </w:r>
      <w:r>
        <w:rPr>
          <w:rFonts w:hint="eastAsia" w:ascii="宋体"/>
          <w:color w:val="auto"/>
          <w:sz w:val="21"/>
          <w:szCs w:val="21"/>
          <w:highlight w:val="none"/>
        </w:rPr>
        <w:t>逾期付款的，每逾期一日，以逾期付款金额的0.1％向</w:t>
      </w:r>
      <w:r>
        <w:rPr>
          <w:rFonts w:hint="eastAsia" w:ascii="宋体"/>
          <w:color w:val="auto"/>
          <w:sz w:val="21"/>
          <w:szCs w:val="21"/>
          <w:highlight w:val="none"/>
          <w:lang w:eastAsia="zh-CN"/>
        </w:rPr>
        <w:t>乙方</w:t>
      </w:r>
      <w:r>
        <w:rPr>
          <w:rFonts w:hint="eastAsia" w:ascii="宋体"/>
          <w:color w:val="auto"/>
          <w:sz w:val="21"/>
          <w:szCs w:val="21"/>
          <w:highlight w:val="none"/>
        </w:rPr>
        <w:t>支付违约金。</w:t>
      </w:r>
    </w:p>
    <w:p w14:paraId="0AA811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3、</w:t>
      </w:r>
      <w:r>
        <w:rPr>
          <w:rFonts w:hint="eastAsia" w:ascii="宋体"/>
          <w:color w:val="auto"/>
          <w:sz w:val="21"/>
          <w:szCs w:val="21"/>
          <w:highlight w:val="none"/>
          <w:lang w:eastAsia="zh-CN"/>
        </w:rPr>
        <w:t>乙方</w:t>
      </w:r>
      <w:r>
        <w:rPr>
          <w:rFonts w:hint="eastAsia" w:ascii="宋体"/>
          <w:color w:val="auto"/>
          <w:sz w:val="21"/>
          <w:szCs w:val="21"/>
          <w:highlight w:val="none"/>
        </w:rPr>
        <w:t>无故解除本合同或存在其他违约行为的，</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3</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p>
    <w:p w14:paraId="72F654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eastAsia="宋体"/>
          <w:color w:val="auto"/>
          <w:sz w:val="21"/>
          <w:szCs w:val="21"/>
          <w:highlight w:val="none"/>
          <w:lang w:eastAsia="zh-CN"/>
        </w:rPr>
      </w:pPr>
      <w:r>
        <w:rPr>
          <w:rFonts w:hint="eastAsia" w:ascii="宋体"/>
          <w:color w:val="auto"/>
          <w:sz w:val="21"/>
          <w:szCs w:val="21"/>
          <w:highlight w:val="none"/>
          <w:lang w:val="en-US" w:eastAsia="zh-CN"/>
        </w:rPr>
        <w:t>4、</w:t>
      </w:r>
      <w:r>
        <w:rPr>
          <w:rFonts w:hint="eastAsia" w:ascii="宋体"/>
          <w:color w:val="auto"/>
          <w:sz w:val="21"/>
          <w:szCs w:val="21"/>
          <w:highlight w:val="none"/>
          <w:lang w:eastAsia="zh-CN"/>
        </w:rPr>
        <w:t>甲方</w:t>
      </w:r>
      <w:r>
        <w:rPr>
          <w:rFonts w:hint="eastAsia" w:ascii="宋体"/>
          <w:color w:val="auto"/>
          <w:sz w:val="21"/>
          <w:szCs w:val="21"/>
          <w:highlight w:val="none"/>
        </w:rPr>
        <w:t>的损失大于本合同约定的违约金的，</w:t>
      </w:r>
      <w:r>
        <w:rPr>
          <w:rFonts w:hint="eastAsia" w:ascii="宋体"/>
          <w:color w:val="auto"/>
          <w:sz w:val="21"/>
          <w:szCs w:val="21"/>
          <w:highlight w:val="none"/>
          <w:lang w:eastAsia="zh-CN"/>
        </w:rPr>
        <w:t>乙方</w:t>
      </w:r>
      <w:r>
        <w:rPr>
          <w:rFonts w:hint="eastAsia" w:ascii="宋体"/>
          <w:color w:val="auto"/>
          <w:sz w:val="21"/>
          <w:szCs w:val="21"/>
          <w:highlight w:val="none"/>
        </w:rPr>
        <w:t>应</w:t>
      </w:r>
      <w:r>
        <w:rPr>
          <w:rFonts w:hint="eastAsia" w:ascii="宋体"/>
          <w:color w:val="auto"/>
          <w:sz w:val="21"/>
          <w:szCs w:val="21"/>
          <w:highlight w:val="none"/>
          <w:lang w:val="en-US" w:eastAsia="zh-CN"/>
        </w:rPr>
        <w:t>承担补足</w:t>
      </w:r>
      <w:r>
        <w:rPr>
          <w:rFonts w:hint="eastAsia" w:ascii="宋体"/>
          <w:color w:val="auto"/>
          <w:sz w:val="21"/>
          <w:szCs w:val="21"/>
          <w:highlight w:val="none"/>
          <w:lang w:eastAsia="zh-CN"/>
        </w:rPr>
        <w:t>甲方</w:t>
      </w:r>
      <w:r>
        <w:rPr>
          <w:rFonts w:hint="eastAsia" w:ascii="宋体"/>
          <w:color w:val="auto"/>
          <w:sz w:val="21"/>
          <w:szCs w:val="21"/>
          <w:highlight w:val="none"/>
          <w:lang w:val="en-US" w:eastAsia="zh-CN"/>
        </w:rPr>
        <w:t>的全部</w:t>
      </w:r>
      <w:r>
        <w:rPr>
          <w:rFonts w:hint="eastAsia" w:ascii="宋体"/>
          <w:color w:val="auto"/>
          <w:sz w:val="21"/>
          <w:szCs w:val="21"/>
          <w:highlight w:val="none"/>
        </w:rPr>
        <w:t>损失</w:t>
      </w:r>
      <w:r>
        <w:rPr>
          <w:rFonts w:hint="eastAsia" w:ascii="宋体"/>
          <w:color w:val="auto"/>
          <w:sz w:val="21"/>
          <w:szCs w:val="21"/>
          <w:highlight w:val="none"/>
          <w:lang w:eastAsia="zh-CN"/>
        </w:rPr>
        <w:t>。</w:t>
      </w:r>
    </w:p>
    <w:p w14:paraId="73AE2F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5、</w:t>
      </w:r>
      <w:r>
        <w:rPr>
          <w:rFonts w:hint="eastAsia" w:ascii="宋体"/>
          <w:color w:val="auto"/>
          <w:sz w:val="21"/>
          <w:szCs w:val="21"/>
          <w:highlight w:val="none"/>
          <w:lang w:eastAsia="zh-CN"/>
        </w:rPr>
        <w:t>乙方</w:t>
      </w:r>
      <w:r>
        <w:rPr>
          <w:rFonts w:hint="eastAsia" w:ascii="宋体"/>
          <w:color w:val="auto"/>
          <w:sz w:val="21"/>
          <w:szCs w:val="21"/>
          <w:highlight w:val="none"/>
        </w:rPr>
        <w:t>因本合同约定应向</w:t>
      </w:r>
      <w:r>
        <w:rPr>
          <w:rFonts w:hint="eastAsia" w:ascii="宋体"/>
          <w:color w:val="auto"/>
          <w:sz w:val="21"/>
          <w:szCs w:val="21"/>
          <w:highlight w:val="none"/>
          <w:lang w:eastAsia="zh-CN"/>
        </w:rPr>
        <w:t>甲方</w:t>
      </w:r>
      <w:r>
        <w:rPr>
          <w:rFonts w:hint="eastAsia" w:ascii="宋体"/>
          <w:color w:val="auto"/>
          <w:sz w:val="21"/>
          <w:szCs w:val="21"/>
          <w:highlight w:val="none"/>
        </w:rPr>
        <w:t>支付的各项费用、违约金、赔偿等，</w:t>
      </w:r>
      <w:r>
        <w:rPr>
          <w:rFonts w:hint="eastAsia" w:ascii="宋体"/>
          <w:color w:val="auto"/>
          <w:sz w:val="21"/>
          <w:szCs w:val="21"/>
          <w:highlight w:val="none"/>
          <w:lang w:val="en-US" w:eastAsia="zh-CN"/>
        </w:rPr>
        <w:t>甲方有权从最近一笔付款中扣除相应金额。如果最近一笔付款不足以抵扣违约金的，则可从下一笔付款中继续扣除，仍不足以抵扣的，甲方保留向乙方追究责任的权利。</w:t>
      </w:r>
    </w:p>
    <w:p w14:paraId="088C1A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6、</w:t>
      </w:r>
      <w:r>
        <w:rPr>
          <w:rFonts w:hint="eastAsia" w:ascii="宋体"/>
          <w:color w:val="auto"/>
          <w:sz w:val="21"/>
          <w:szCs w:val="21"/>
          <w:highlight w:val="none"/>
        </w:rPr>
        <w:t>违约方承担守约方</w:t>
      </w:r>
      <w:r>
        <w:rPr>
          <w:rFonts w:hint="eastAsia" w:ascii="宋体"/>
          <w:color w:val="auto"/>
          <w:sz w:val="21"/>
          <w:szCs w:val="21"/>
          <w:highlight w:val="none"/>
          <w:lang w:val="en-US" w:eastAsia="zh-CN"/>
        </w:rPr>
        <w:t>的损失中还应</w:t>
      </w:r>
      <w:r>
        <w:rPr>
          <w:rFonts w:hint="eastAsia" w:ascii="宋体"/>
          <w:color w:val="auto"/>
          <w:sz w:val="21"/>
          <w:szCs w:val="21"/>
          <w:highlight w:val="none"/>
        </w:rPr>
        <w:t>包括但不限于律师费、诉讼费、保全费</w:t>
      </w:r>
      <w:r>
        <w:rPr>
          <w:rFonts w:hint="eastAsia" w:ascii="宋体"/>
          <w:color w:val="auto"/>
          <w:sz w:val="21"/>
          <w:szCs w:val="21"/>
          <w:highlight w:val="none"/>
          <w:lang w:val="en-US" w:eastAsia="zh-CN"/>
        </w:rPr>
        <w:t>及保险费</w:t>
      </w:r>
      <w:r>
        <w:rPr>
          <w:rFonts w:hint="eastAsia" w:ascii="宋体"/>
          <w:color w:val="auto"/>
          <w:sz w:val="21"/>
          <w:szCs w:val="21"/>
          <w:highlight w:val="none"/>
        </w:rPr>
        <w:t>、评估费、鉴定费等。</w:t>
      </w:r>
    </w:p>
    <w:p w14:paraId="640E83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b/>
          <w:bCs/>
          <w:color w:val="auto"/>
          <w:sz w:val="21"/>
          <w:szCs w:val="21"/>
          <w:highlight w:val="none"/>
          <w:lang w:val="en-US" w:eastAsia="zh-CN"/>
        </w:rPr>
        <w:t>八</w:t>
      </w:r>
      <w:r>
        <w:rPr>
          <w:rFonts w:hint="eastAsia" w:ascii="宋体"/>
          <w:b/>
          <w:bCs/>
          <w:color w:val="auto"/>
          <w:sz w:val="21"/>
          <w:szCs w:val="21"/>
          <w:highlight w:val="none"/>
        </w:rPr>
        <w:t>：</w:t>
      </w:r>
      <w:r>
        <w:rPr>
          <w:rFonts w:hint="eastAsia" w:ascii="宋体"/>
          <w:b/>
          <w:bCs/>
          <w:color w:val="auto"/>
          <w:sz w:val="21"/>
          <w:szCs w:val="21"/>
          <w:highlight w:val="none"/>
          <w:lang w:val="en-US" w:eastAsia="zh-CN"/>
        </w:rPr>
        <w:t>争议解决</w:t>
      </w:r>
      <w:r>
        <w:rPr>
          <w:rFonts w:hint="eastAsia" w:ascii="宋体"/>
          <w:b/>
          <w:bCs/>
          <w:color w:val="auto"/>
          <w:sz w:val="21"/>
          <w:szCs w:val="21"/>
          <w:highlight w:val="none"/>
        </w:rPr>
        <w:t>：</w:t>
      </w:r>
    </w:p>
    <w:p w14:paraId="744B9B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未尽事宜双方友好协商解决，并以书面形式作为合同附件。协商不成按第</w:t>
      </w:r>
      <w:r>
        <w:rPr>
          <w:rFonts w:hint="eastAsia" w:ascii="宋体"/>
          <w:color w:val="auto"/>
          <w:sz w:val="21"/>
          <w:szCs w:val="21"/>
          <w:highlight w:val="none"/>
          <w:u w:val="single"/>
          <w:lang w:val="en-US" w:eastAsia="zh-CN"/>
        </w:rPr>
        <w:t xml:space="preserve">  2   </w:t>
      </w:r>
      <w:r>
        <w:rPr>
          <w:rFonts w:hint="eastAsia" w:ascii="宋体"/>
          <w:color w:val="auto"/>
          <w:sz w:val="21"/>
          <w:szCs w:val="21"/>
          <w:highlight w:val="none"/>
          <w:lang w:val="en-US" w:eastAsia="zh-CN"/>
        </w:rPr>
        <w:t xml:space="preserve"> </w:t>
      </w:r>
      <w:r>
        <w:rPr>
          <w:rFonts w:hint="eastAsia" w:ascii="宋体"/>
          <w:color w:val="auto"/>
          <w:sz w:val="21"/>
          <w:szCs w:val="21"/>
          <w:highlight w:val="none"/>
        </w:rPr>
        <w:t>种方式解决。</w:t>
      </w:r>
    </w:p>
    <w:p w14:paraId="2AFF86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eastAsia="zh-CN"/>
        </w:rPr>
      </w:pPr>
      <w:r>
        <w:rPr>
          <w:rFonts w:hint="eastAsia" w:ascii="宋体"/>
          <w:color w:val="auto"/>
          <w:sz w:val="21"/>
          <w:szCs w:val="21"/>
          <w:highlight w:val="none"/>
          <w:lang w:val="en-US" w:eastAsia="zh-CN"/>
        </w:rPr>
        <w:t>1、提交</w:t>
      </w:r>
      <w:r>
        <w:rPr>
          <w:rFonts w:hint="eastAsia" w:ascii="宋体"/>
          <w:color w:val="auto"/>
          <w:sz w:val="21"/>
          <w:szCs w:val="21"/>
          <w:highlight w:val="none"/>
        </w:rPr>
        <w:t>合同履行地仲裁委员会仲裁</w:t>
      </w:r>
      <w:r>
        <w:rPr>
          <w:rFonts w:hint="eastAsia" w:ascii="宋体"/>
          <w:color w:val="auto"/>
          <w:sz w:val="21"/>
          <w:szCs w:val="21"/>
          <w:highlight w:val="none"/>
          <w:lang w:eastAsia="zh-CN"/>
        </w:rPr>
        <w:t>；</w:t>
      </w:r>
    </w:p>
    <w:p w14:paraId="7E217B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2、向甲方所在</w:t>
      </w:r>
      <w:r>
        <w:rPr>
          <w:rFonts w:hint="eastAsia" w:ascii="宋体"/>
          <w:color w:val="auto"/>
          <w:sz w:val="21"/>
          <w:szCs w:val="21"/>
          <w:highlight w:val="none"/>
        </w:rPr>
        <w:t>地</w:t>
      </w:r>
      <w:r>
        <w:rPr>
          <w:rFonts w:hint="eastAsia" w:ascii="宋体"/>
          <w:color w:val="auto"/>
          <w:sz w:val="21"/>
          <w:szCs w:val="21"/>
          <w:highlight w:val="none"/>
          <w:lang w:val="en-US" w:eastAsia="zh-CN"/>
        </w:rPr>
        <w:t>具有管辖权的</w:t>
      </w:r>
      <w:r>
        <w:rPr>
          <w:rFonts w:hint="eastAsia" w:ascii="宋体"/>
          <w:color w:val="auto"/>
          <w:sz w:val="21"/>
          <w:szCs w:val="21"/>
          <w:highlight w:val="none"/>
        </w:rPr>
        <w:t>人民法院起诉。</w:t>
      </w:r>
    </w:p>
    <w:p w14:paraId="1AE62F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九：保修期及安装、人员培训</w:t>
      </w:r>
    </w:p>
    <w:p w14:paraId="201E08E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保修期内因质量问题而导致设备停用的时间应从保修期中扣除。货品在正常维护、保养及使用情形下发生故障或损坏，</w:t>
      </w:r>
      <w:r>
        <w:rPr>
          <w:rFonts w:hint="eastAsia" w:ascii="宋体" w:hAnsi="宋体"/>
          <w:color w:val="auto"/>
          <w:szCs w:val="21"/>
          <w:highlight w:val="none"/>
          <w:lang w:val="en-US" w:eastAsia="zh-CN"/>
        </w:rPr>
        <w:t>乙</w:t>
      </w:r>
      <w:r>
        <w:rPr>
          <w:rFonts w:hint="eastAsia" w:ascii="宋体" w:hAnsi="宋体"/>
          <w:color w:val="auto"/>
          <w:szCs w:val="21"/>
          <w:highlight w:val="none"/>
        </w:rPr>
        <w:t>方应负责迅速修复设备至正常生产使用，因而发生的零件，维修及其它费用由</w:t>
      </w:r>
      <w:r>
        <w:rPr>
          <w:rFonts w:hint="eastAsia" w:ascii="宋体" w:hAnsi="宋体"/>
          <w:color w:val="auto"/>
          <w:szCs w:val="21"/>
          <w:highlight w:val="none"/>
          <w:lang w:val="en-US" w:eastAsia="zh-CN"/>
        </w:rPr>
        <w:t>乙</w:t>
      </w:r>
      <w:r>
        <w:rPr>
          <w:rFonts w:hint="eastAsia" w:ascii="宋体" w:hAnsi="宋体"/>
          <w:color w:val="auto"/>
          <w:szCs w:val="21"/>
          <w:highlight w:val="none"/>
        </w:rPr>
        <w:t>方自行负担；保固期满后</w:t>
      </w:r>
      <w:r>
        <w:rPr>
          <w:rFonts w:hint="eastAsia" w:ascii="宋体" w:hAnsi="宋体"/>
          <w:color w:val="auto"/>
          <w:szCs w:val="21"/>
          <w:highlight w:val="none"/>
          <w:lang w:val="en-US" w:eastAsia="zh-CN"/>
        </w:rPr>
        <w:t>乙</w:t>
      </w:r>
      <w:r>
        <w:rPr>
          <w:rFonts w:hint="eastAsia" w:ascii="宋体" w:hAnsi="宋体"/>
          <w:color w:val="auto"/>
          <w:szCs w:val="21"/>
          <w:highlight w:val="none"/>
        </w:rPr>
        <w:t>方对货品之维修得酌收零件、维修及交通等费用。</w:t>
      </w:r>
    </w:p>
    <w:p w14:paraId="6554DD6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机器到达</w:t>
      </w:r>
      <w:r>
        <w:rPr>
          <w:rFonts w:hint="eastAsia" w:ascii="宋体" w:hAnsi="宋体"/>
          <w:color w:val="auto"/>
          <w:szCs w:val="21"/>
          <w:highlight w:val="none"/>
          <w:lang w:val="en-US" w:eastAsia="zh-CN"/>
        </w:rPr>
        <w:t>甲</w:t>
      </w:r>
      <w:r>
        <w:rPr>
          <w:rFonts w:hint="eastAsia" w:ascii="宋体" w:hAnsi="宋体"/>
          <w:color w:val="auto"/>
          <w:szCs w:val="21"/>
          <w:highlight w:val="none"/>
        </w:rPr>
        <w:t>方装机地点后，</w:t>
      </w:r>
      <w:r>
        <w:rPr>
          <w:rFonts w:hint="eastAsia" w:ascii="宋体" w:hAnsi="宋体"/>
          <w:color w:val="auto"/>
          <w:szCs w:val="21"/>
          <w:highlight w:val="none"/>
          <w:lang w:val="en-US" w:eastAsia="zh-CN"/>
        </w:rPr>
        <w:t>甲</w:t>
      </w:r>
      <w:r>
        <w:rPr>
          <w:rFonts w:hint="eastAsia" w:ascii="宋体" w:hAnsi="宋体"/>
          <w:color w:val="auto"/>
          <w:szCs w:val="21"/>
          <w:highlight w:val="none"/>
        </w:rPr>
        <w:t>方通知</w:t>
      </w:r>
      <w:r>
        <w:rPr>
          <w:rFonts w:hint="eastAsia" w:ascii="宋体" w:hAnsi="宋体"/>
          <w:color w:val="auto"/>
          <w:szCs w:val="21"/>
          <w:highlight w:val="none"/>
          <w:lang w:val="en-US" w:eastAsia="zh-CN"/>
        </w:rPr>
        <w:t>乙</w:t>
      </w:r>
      <w:r>
        <w:rPr>
          <w:rFonts w:hint="eastAsia" w:ascii="宋体" w:hAnsi="宋体"/>
          <w:color w:val="auto"/>
          <w:szCs w:val="21"/>
          <w:highlight w:val="none"/>
        </w:rPr>
        <w:t>方安排人员对设备进行安装调校及测试工作。同时</w:t>
      </w:r>
      <w:r>
        <w:rPr>
          <w:rFonts w:hint="eastAsia" w:ascii="宋体" w:hAnsi="宋体"/>
          <w:color w:val="auto"/>
          <w:szCs w:val="21"/>
          <w:highlight w:val="none"/>
          <w:lang w:val="en-US" w:eastAsia="zh-CN"/>
        </w:rPr>
        <w:t>乙</w:t>
      </w:r>
      <w:r>
        <w:rPr>
          <w:rFonts w:hint="eastAsia" w:ascii="宋体" w:hAnsi="宋体"/>
          <w:color w:val="auto"/>
          <w:szCs w:val="21"/>
          <w:highlight w:val="none"/>
        </w:rPr>
        <w:t>方应根据安装，调试的进度具体安排相应的现场培训，培训内容应侧重于安装，调试，设备操守，及维护等内容。后续如</w:t>
      </w:r>
      <w:r>
        <w:rPr>
          <w:rFonts w:hint="eastAsia" w:ascii="宋体" w:hAnsi="宋体"/>
          <w:color w:val="auto"/>
          <w:szCs w:val="21"/>
          <w:highlight w:val="none"/>
          <w:lang w:val="en-US" w:eastAsia="zh-CN"/>
        </w:rPr>
        <w:t>甲</w:t>
      </w:r>
      <w:r>
        <w:rPr>
          <w:rFonts w:hint="eastAsia" w:ascii="宋体" w:hAnsi="宋体"/>
          <w:color w:val="auto"/>
          <w:szCs w:val="21"/>
          <w:highlight w:val="none"/>
        </w:rPr>
        <w:t>方仍有培训需求，</w:t>
      </w:r>
      <w:r>
        <w:rPr>
          <w:rFonts w:hint="eastAsia" w:ascii="宋体" w:hAnsi="宋体"/>
          <w:color w:val="auto"/>
          <w:szCs w:val="21"/>
          <w:highlight w:val="none"/>
          <w:lang w:val="en-US" w:eastAsia="zh-CN"/>
        </w:rPr>
        <w:t>乙</w:t>
      </w:r>
      <w:r>
        <w:rPr>
          <w:rFonts w:hint="eastAsia" w:ascii="宋体" w:hAnsi="宋体"/>
          <w:color w:val="auto"/>
          <w:szCs w:val="21"/>
          <w:highlight w:val="none"/>
        </w:rPr>
        <w:t>方再进行一次前述培训。</w:t>
      </w:r>
    </w:p>
    <w:p w14:paraId="13E4CB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 维修反应时间：</w:t>
      </w:r>
    </w:p>
    <w:p w14:paraId="5D938A2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乙</w:t>
      </w:r>
      <w:r>
        <w:rPr>
          <w:rFonts w:hint="eastAsia" w:ascii="宋体" w:hAnsi="宋体"/>
          <w:color w:val="auto"/>
          <w:szCs w:val="21"/>
          <w:highlight w:val="none"/>
        </w:rPr>
        <w:t>方应在工作日24小时内对</w:t>
      </w:r>
      <w:r>
        <w:rPr>
          <w:rFonts w:hint="eastAsia" w:ascii="宋体" w:hAnsi="宋体"/>
          <w:color w:val="auto"/>
          <w:szCs w:val="21"/>
          <w:highlight w:val="none"/>
          <w:lang w:val="en-US" w:eastAsia="zh-CN"/>
        </w:rPr>
        <w:t>甲</w:t>
      </w:r>
      <w:r>
        <w:rPr>
          <w:rFonts w:hint="eastAsia" w:ascii="宋体" w:hAnsi="宋体"/>
          <w:color w:val="auto"/>
          <w:szCs w:val="21"/>
          <w:highlight w:val="none"/>
        </w:rPr>
        <w:t>方的报修申请做出反应。一般性问题应在工作日</w:t>
      </w:r>
      <w:r>
        <w:rPr>
          <w:rFonts w:ascii="宋体" w:hAnsi="宋体"/>
          <w:color w:val="auto"/>
          <w:szCs w:val="21"/>
          <w:highlight w:val="none"/>
        </w:rPr>
        <w:t>72</w:t>
      </w:r>
      <w:r>
        <w:rPr>
          <w:rFonts w:hint="eastAsia" w:ascii="宋体" w:hAnsi="宋体"/>
          <w:color w:val="auto"/>
          <w:szCs w:val="21"/>
          <w:highlight w:val="none"/>
        </w:rPr>
        <w:t>小时内解决；对于在工作日</w:t>
      </w:r>
      <w:r>
        <w:rPr>
          <w:rFonts w:ascii="宋体" w:hAnsi="宋体"/>
          <w:color w:val="auto"/>
          <w:szCs w:val="21"/>
          <w:highlight w:val="none"/>
        </w:rPr>
        <w:t>72</w:t>
      </w:r>
      <w:r>
        <w:rPr>
          <w:rFonts w:hint="eastAsia" w:ascii="宋体" w:hAnsi="宋体"/>
          <w:color w:val="auto"/>
          <w:szCs w:val="21"/>
          <w:highlight w:val="none"/>
        </w:rPr>
        <w:t>小时内无法解决的其它较大的问题，应在</w:t>
      </w:r>
      <w:r>
        <w:rPr>
          <w:rFonts w:ascii="宋体" w:hAnsi="宋体"/>
          <w:color w:val="auto"/>
          <w:szCs w:val="21"/>
          <w:highlight w:val="none"/>
        </w:rPr>
        <w:t>5</w:t>
      </w:r>
      <w:r>
        <w:rPr>
          <w:rFonts w:hint="eastAsia" w:ascii="宋体" w:hAnsi="宋体"/>
          <w:color w:val="auto"/>
          <w:szCs w:val="21"/>
          <w:highlight w:val="none"/>
        </w:rPr>
        <w:t>个工作日内给以解决；对于在</w:t>
      </w:r>
      <w:r>
        <w:rPr>
          <w:rFonts w:ascii="宋体" w:hAnsi="宋体"/>
          <w:color w:val="auto"/>
          <w:szCs w:val="21"/>
          <w:highlight w:val="none"/>
        </w:rPr>
        <w:t>5</w:t>
      </w:r>
      <w:r>
        <w:rPr>
          <w:rFonts w:hint="eastAsia" w:ascii="宋体" w:hAnsi="宋体"/>
          <w:color w:val="auto"/>
          <w:szCs w:val="21"/>
          <w:highlight w:val="none"/>
        </w:rPr>
        <w:t>个工作日内不能解决的问题，应提出明确的解决方案，经双方协商后，在预定的期限内解决问题。如</w:t>
      </w:r>
      <w:r>
        <w:rPr>
          <w:rFonts w:hint="eastAsia" w:ascii="MS Gothic" w:hAnsi="MS Gothic" w:cs="MS Gothic"/>
          <w:color w:val="auto"/>
          <w:szCs w:val="21"/>
          <w:highlight w:val="none"/>
          <w:lang w:val="en-US" w:eastAsia="zh-CN"/>
        </w:rPr>
        <w:t>乙</w:t>
      </w:r>
      <w:r>
        <w:rPr>
          <w:rFonts w:hint="eastAsia" w:ascii="宋体" w:hAnsi="宋体"/>
          <w:color w:val="auto"/>
          <w:szCs w:val="21"/>
          <w:highlight w:val="none"/>
        </w:rPr>
        <w:t>方无法排除故障，</w:t>
      </w:r>
      <w:r>
        <w:rPr>
          <w:rFonts w:hint="eastAsia" w:ascii="宋体" w:hAnsi="宋体"/>
          <w:color w:val="auto"/>
          <w:szCs w:val="21"/>
          <w:highlight w:val="none"/>
          <w:lang w:val="en-US" w:eastAsia="zh-CN"/>
        </w:rPr>
        <w:t>乙</w:t>
      </w:r>
      <w:r>
        <w:rPr>
          <w:rFonts w:hint="eastAsia" w:ascii="宋体" w:hAnsi="宋体"/>
          <w:color w:val="auto"/>
          <w:szCs w:val="21"/>
          <w:highlight w:val="none"/>
        </w:rPr>
        <w:t>方应赔偿由此而造成的直接损失</w:t>
      </w:r>
      <w:r>
        <w:rPr>
          <w:rFonts w:ascii="宋体" w:hAnsi="宋体"/>
          <w:color w:val="auto"/>
          <w:szCs w:val="21"/>
          <w:highlight w:val="none"/>
        </w:rPr>
        <w:t>(</w:t>
      </w:r>
      <w:r>
        <w:rPr>
          <w:rFonts w:hint="eastAsia" w:ascii="宋体" w:hAnsi="宋体"/>
          <w:color w:val="auto"/>
          <w:szCs w:val="21"/>
          <w:highlight w:val="none"/>
        </w:rPr>
        <w:t>人为问题</w:t>
      </w:r>
      <w:r>
        <w:rPr>
          <w:rFonts w:hint="eastAsia" w:ascii="宋体" w:hAnsi="宋体"/>
          <w:color w:val="auto"/>
          <w:szCs w:val="21"/>
          <w:highlight w:val="none"/>
          <w:lang w:val="en-US" w:eastAsia="zh-CN"/>
        </w:rPr>
        <w:tab/>
      </w:r>
      <w:r>
        <w:rPr>
          <w:rFonts w:hint="eastAsia" w:ascii="宋体" w:hAnsi="宋体"/>
          <w:color w:val="auto"/>
          <w:szCs w:val="21"/>
          <w:highlight w:val="none"/>
        </w:rPr>
        <w:t>除外</w:t>
      </w:r>
      <w:r>
        <w:rPr>
          <w:rFonts w:ascii="宋体" w:hAnsi="宋体"/>
          <w:color w:val="auto"/>
          <w:szCs w:val="21"/>
          <w:highlight w:val="none"/>
        </w:rPr>
        <w:t>)</w:t>
      </w:r>
      <w:r>
        <w:rPr>
          <w:rFonts w:hint="eastAsia" w:ascii="宋体" w:hAnsi="宋体"/>
          <w:color w:val="auto"/>
          <w:szCs w:val="21"/>
          <w:highlight w:val="none"/>
        </w:rPr>
        <w:t>。</w:t>
      </w:r>
    </w:p>
    <w:p w14:paraId="1585D8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十一：保证与承诺</w:t>
      </w:r>
    </w:p>
    <w:p w14:paraId="22E3AB7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1、乙</w:t>
      </w:r>
      <w:r>
        <w:rPr>
          <w:rFonts w:hint="eastAsia" w:ascii="宋体" w:hAnsi="宋体"/>
          <w:color w:val="auto"/>
          <w:szCs w:val="21"/>
          <w:highlight w:val="none"/>
        </w:rPr>
        <w:t>方所提供的设备、设备相关软件、技术、设备产品及该设备日后的使用不会对第三方的知识产权造成侵害；</w:t>
      </w:r>
    </w:p>
    <w:p w14:paraId="3A2650F6">
      <w:pPr>
        <w:spacing w:line="400" w:lineRule="exact"/>
        <w:ind w:firstLine="420" w:firstLineChars="200"/>
        <w:rPr>
          <w:rFonts w:hint="default" w:ascii="宋体"/>
          <w:color w:val="auto"/>
          <w:sz w:val="21"/>
          <w:szCs w:val="21"/>
          <w:highlight w:val="none"/>
          <w:lang w:val="en-US" w:eastAsia="zh-CN"/>
        </w:rPr>
      </w:pPr>
      <w:r>
        <w:rPr>
          <w:rFonts w:hint="eastAsia" w:ascii="宋体" w:hAnsi="宋体"/>
          <w:color w:val="auto"/>
          <w:szCs w:val="21"/>
          <w:highlight w:val="none"/>
          <w:lang w:val="en-US" w:eastAsia="zh-CN"/>
        </w:rPr>
        <w:t>2、乙</w:t>
      </w:r>
      <w:r>
        <w:rPr>
          <w:rFonts w:hint="eastAsia" w:ascii="宋体" w:hAnsi="宋体"/>
          <w:color w:val="auto"/>
          <w:szCs w:val="21"/>
          <w:highlight w:val="none"/>
        </w:rPr>
        <w:t>方所提供的设备上未设置抵押、质押、留置等任何权利负担。</w:t>
      </w:r>
    </w:p>
    <w:p w14:paraId="5EB255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rPr>
      </w:pPr>
      <w:r>
        <w:rPr>
          <w:rFonts w:hint="eastAsia" w:ascii="宋体"/>
          <w:b/>
          <w:bCs w:val="0"/>
          <w:color w:val="auto"/>
          <w:sz w:val="21"/>
          <w:szCs w:val="21"/>
          <w:highlight w:val="none"/>
          <w:lang w:val="en-US" w:eastAsia="zh-CN"/>
        </w:rPr>
        <w:t>十二</w:t>
      </w:r>
      <w:r>
        <w:rPr>
          <w:rFonts w:hint="eastAsia" w:ascii="宋体"/>
          <w:b/>
          <w:bCs w:val="0"/>
          <w:color w:val="auto"/>
          <w:sz w:val="21"/>
          <w:szCs w:val="21"/>
          <w:highlight w:val="none"/>
        </w:rPr>
        <w:t>：其他约定事项：</w:t>
      </w:r>
    </w:p>
    <w:p w14:paraId="1D489138">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1、通知和送达条款：通知和送达双方确定，以下联系方式为双方与本合同相关的一切往来文件（包括但不限于订单、通知、协议、函件、发票等)及争议解决时人民法院（或仲裁机构）法律文书的有效送达方式。若各方送达方式发生变更时，变更一方应书面通知对方，对方实际收到变更通知前作出的送达仍有效。</w:t>
      </w:r>
    </w:p>
    <w:p w14:paraId="6F08FFAF">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2、本合同附件、本合同指定的相关文件为本合同不可分割的一部分，与本合同具有相同的法律效力。除非双方另有书面约定，各方的其他文件与本合同约定不一致的，以本合同的约定为准且专用条款优先。</w:t>
      </w:r>
    </w:p>
    <w:p w14:paraId="38685DF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default"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3、附上</w:t>
      </w:r>
      <w:r>
        <w:rPr>
          <w:rFonts w:hint="eastAsia" w:ascii="宋体"/>
          <w:b/>
          <w:bCs w:val="0"/>
          <w:color w:val="auto"/>
          <w:sz w:val="21"/>
          <w:szCs w:val="21"/>
          <w:highlight w:val="none"/>
          <w:lang w:val="en-US" w:eastAsia="zh-CN"/>
        </w:rPr>
        <w:t>履行本合同过程中双方指定对接人员身份和微信号、电话等</w:t>
      </w:r>
    </w:p>
    <w:p w14:paraId="2ADDD0BA">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lang w:val="en-US" w:eastAsia="zh-CN"/>
        </w:rPr>
      </w:pPr>
      <w:r>
        <w:rPr>
          <w:rFonts w:hint="eastAsia" w:ascii="宋体"/>
          <w:b/>
          <w:bCs w:val="0"/>
          <w:color w:val="auto"/>
          <w:sz w:val="21"/>
          <w:szCs w:val="21"/>
          <w:highlight w:val="none"/>
          <w:lang w:val="en-US" w:eastAsia="zh-CN"/>
        </w:rPr>
        <w:t>十三：生效条款：</w:t>
      </w:r>
    </w:p>
    <w:p w14:paraId="6CE63C3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本合同自双方签字或盖章之日起生效。本合同一式肆份，双方各执贰份，具有同等法律效力，供货结束并结清货款后自动终止。</w:t>
      </w:r>
    </w:p>
    <w:p w14:paraId="6C53901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10" w:firstLineChars="100"/>
        <w:textAlignment w:val="auto"/>
        <w:rPr>
          <w:rFonts w:hint="eastAsia" w:ascii="宋体"/>
          <w:b w:val="0"/>
          <w:bCs/>
          <w:color w:val="auto"/>
          <w:sz w:val="21"/>
          <w:szCs w:val="21"/>
          <w:highlight w:val="none"/>
          <w:lang w:val="en-US" w:eastAsia="zh-CN"/>
        </w:rPr>
      </w:pPr>
    </w:p>
    <w:p w14:paraId="1D55C44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51" w:firstLineChars="100"/>
        <w:jc w:val="center"/>
        <w:textAlignment w:val="auto"/>
        <w:rPr>
          <w:rFonts w:hint="eastAsia" w:cs="Times New Roman" w:asciiTheme="minorEastAsia" w:hAnsiTheme="minorEastAsia" w:eastAsiaTheme="minorEastAsia"/>
          <w:b/>
          <w:color w:val="auto"/>
          <w:kern w:val="2"/>
          <w:sz w:val="25"/>
          <w:szCs w:val="25"/>
          <w:highlight w:val="none"/>
          <w:lang w:eastAsia="zh-CN"/>
        </w:rPr>
      </w:pPr>
    </w:p>
    <w:p w14:paraId="70AD223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51" w:firstLineChars="100"/>
        <w:jc w:val="center"/>
        <w:textAlignment w:val="auto"/>
        <w:rPr>
          <w:rFonts w:hint="eastAsia" w:cs="Times New Roman" w:asciiTheme="minorEastAsia" w:hAnsiTheme="minorEastAsia" w:eastAsiaTheme="minorEastAsia"/>
          <w:b/>
          <w:color w:val="auto"/>
          <w:kern w:val="2"/>
          <w:sz w:val="25"/>
          <w:szCs w:val="25"/>
          <w:highlight w:val="none"/>
          <w:lang w:eastAsia="zh-CN"/>
        </w:rPr>
      </w:pPr>
    </w:p>
    <w:p w14:paraId="44258382">
      <w:pPr>
        <w:rPr>
          <w:rFonts w:hint="eastAsia" w:cs="Times New Roman" w:asciiTheme="minorEastAsia" w:hAnsiTheme="minorEastAsia" w:eastAsiaTheme="minorEastAsia"/>
          <w:b/>
          <w:color w:val="auto"/>
          <w:kern w:val="2"/>
          <w:sz w:val="32"/>
          <w:szCs w:val="32"/>
          <w:highlight w:val="none"/>
          <w:lang w:eastAsia="zh-CN"/>
        </w:rPr>
      </w:pPr>
    </w:p>
    <w:p w14:paraId="4F7D275B">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center"/>
        <w:textAlignment w:val="auto"/>
        <w:rPr>
          <w:rFonts w:hint="eastAsia" w:cs="Times New Roman" w:asciiTheme="minorEastAsia" w:hAnsiTheme="minorEastAsia" w:eastAsiaTheme="minorEastAsia"/>
          <w:b/>
          <w:color w:val="auto"/>
          <w:kern w:val="2"/>
          <w:sz w:val="32"/>
          <w:szCs w:val="32"/>
          <w:highlight w:val="none"/>
          <w:lang w:eastAsia="zh-CN"/>
        </w:rPr>
      </w:pPr>
    </w:p>
    <w:p w14:paraId="28BF62A3">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cs="Times New Roman" w:asciiTheme="minorEastAsia" w:hAnsiTheme="minorEastAsia" w:eastAsiaTheme="minorEastAsia"/>
          <w:b/>
          <w:color w:val="auto"/>
          <w:kern w:val="2"/>
          <w:sz w:val="32"/>
          <w:szCs w:val="32"/>
          <w:highlight w:val="none"/>
          <w:lang w:eastAsia="zh-CN"/>
        </w:rPr>
      </w:pPr>
    </w:p>
    <w:p w14:paraId="12E5FEEA">
      <w:pPr>
        <w:pStyle w:val="2"/>
        <w:rPr>
          <w:rFonts w:hint="eastAsia" w:cs="Times New Roman" w:asciiTheme="minorEastAsia" w:hAnsiTheme="minorEastAsia" w:eastAsiaTheme="minorEastAsia"/>
          <w:b/>
          <w:color w:val="auto"/>
          <w:kern w:val="2"/>
          <w:sz w:val="32"/>
          <w:szCs w:val="32"/>
          <w:highlight w:val="none"/>
          <w:lang w:eastAsia="zh-CN"/>
        </w:rPr>
      </w:pPr>
    </w:p>
    <w:p w14:paraId="611BFBE1">
      <w:pPr>
        <w:pStyle w:val="2"/>
        <w:rPr>
          <w:rFonts w:hint="eastAsia" w:cs="Times New Roman" w:asciiTheme="minorEastAsia" w:hAnsiTheme="minorEastAsia" w:eastAsiaTheme="minorEastAsia"/>
          <w:b/>
          <w:color w:val="auto"/>
          <w:kern w:val="2"/>
          <w:sz w:val="32"/>
          <w:szCs w:val="32"/>
          <w:highlight w:val="none"/>
          <w:lang w:eastAsia="zh-CN"/>
        </w:rPr>
      </w:pPr>
    </w:p>
    <w:p w14:paraId="39431E29">
      <w:pPr>
        <w:pStyle w:val="2"/>
        <w:rPr>
          <w:rFonts w:hint="eastAsia" w:cs="Times New Roman" w:asciiTheme="minorEastAsia" w:hAnsiTheme="minorEastAsia" w:eastAsiaTheme="minorEastAsia"/>
          <w:b/>
          <w:color w:val="auto"/>
          <w:kern w:val="2"/>
          <w:sz w:val="32"/>
          <w:szCs w:val="32"/>
          <w:highlight w:val="none"/>
          <w:lang w:eastAsia="zh-CN"/>
        </w:rPr>
      </w:pPr>
    </w:p>
    <w:p w14:paraId="3832B205">
      <w:pPr>
        <w:pStyle w:val="2"/>
        <w:rPr>
          <w:rFonts w:hint="eastAsia" w:cs="Times New Roman" w:asciiTheme="minorEastAsia" w:hAnsiTheme="minorEastAsia" w:eastAsiaTheme="minorEastAsia"/>
          <w:b/>
          <w:color w:val="auto"/>
          <w:kern w:val="2"/>
          <w:sz w:val="32"/>
          <w:szCs w:val="32"/>
          <w:highlight w:val="none"/>
          <w:lang w:eastAsia="zh-CN"/>
        </w:rPr>
      </w:pPr>
    </w:p>
    <w:p w14:paraId="37E4C276">
      <w:pPr>
        <w:pStyle w:val="2"/>
        <w:rPr>
          <w:rFonts w:hint="eastAsia" w:cs="Times New Roman" w:asciiTheme="minorEastAsia" w:hAnsiTheme="minorEastAsia" w:eastAsiaTheme="minorEastAsia"/>
          <w:b/>
          <w:color w:val="auto"/>
          <w:kern w:val="2"/>
          <w:sz w:val="32"/>
          <w:szCs w:val="32"/>
          <w:highlight w:val="none"/>
          <w:lang w:eastAsia="zh-CN"/>
        </w:rPr>
      </w:pPr>
    </w:p>
    <w:p w14:paraId="6435C5D3">
      <w:pPr>
        <w:pStyle w:val="2"/>
        <w:rPr>
          <w:rFonts w:hint="eastAsia" w:cs="Times New Roman" w:asciiTheme="minorEastAsia" w:hAnsiTheme="minorEastAsia" w:eastAsiaTheme="minorEastAsia"/>
          <w:b/>
          <w:color w:val="auto"/>
          <w:kern w:val="2"/>
          <w:sz w:val="32"/>
          <w:szCs w:val="32"/>
          <w:highlight w:val="none"/>
          <w:lang w:eastAsia="zh-CN"/>
        </w:rPr>
      </w:pPr>
    </w:p>
    <w:p w14:paraId="6C29656B">
      <w:pPr>
        <w:pStyle w:val="2"/>
        <w:rPr>
          <w:rFonts w:hint="eastAsia" w:cs="Times New Roman" w:asciiTheme="minorEastAsia" w:hAnsiTheme="minorEastAsia" w:eastAsiaTheme="minorEastAsia"/>
          <w:b/>
          <w:color w:val="auto"/>
          <w:kern w:val="2"/>
          <w:sz w:val="32"/>
          <w:szCs w:val="32"/>
          <w:highlight w:val="none"/>
          <w:lang w:eastAsia="zh-CN"/>
        </w:rPr>
      </w:pPr>
    </w:p>
    <w:p w14:paraId="1FC891E2">
      <w:pPr>
        <w:pStyle w:val="2"/>
        <w:rPr>
          <w:rFonts w:hint="eastAsia" w:cs="Times New Roman" w:asciiTheme="minorEastAsia" w:hAnsiTheme="minorEastAsia" w:eastAsiaTheme="minorEastAsia"/>
          <w:b/>
          <w:color w:val="auto"/>
          <w:kern w:val="2"/>
          <w:sz w:val="32"/>
          <w:szCs w:val="32"/>
          <w:highlight w:val="none"/>
          <w:lang w:eastAsia="zh-CN"/>
        </w:rPr>
      </w:pPr>
    </w:p>
    <w:p w14:paraId="61D4FF53">
      <w:pPr>
        <w:pStyle w:val="2"/>
        <w:rPr>
          <w:rFonts w:hint="eastAsia" w:cs="Times New Roman" w:asciiTheme="minorEastAsia" w:hAnsiTheme="minorEastAsia" w:eastAsiaTheme="minorEastAsia"/>
          <w:b/>
          <w:color w:val="auto"/>
          <w:kern w:val="2"/>
          <w:sz w:val="32"/>
          <w:szCs w:val="32"/>
          <w:highlight w:val="none"/>
          <w:lang w:eastAsia="zh-CN"/>
        </w:rPr>
      </w:pPr>
    </w:p>
    <w:p w14:paraId="1858BBCE">
      <w:pPr>
        <w:pStyle w:val="2"/>
        <w:rPr>
          <w:rFonts w:hint="eastAsia" w:cs="Times New Roman" w:asciiTheme="minorEastAsia" w:hAnsiTheme="minorEastAsia" w:eastAsiaTheme="minorEastAsia"/>
          <w:b/>
          <w:color w:val="auto"/>
          <w:kern w:val="2"/>
          <w:sz w:val="32"/>
          <w:szCs w:val="32"/>
          <w:highlight w:val="none"/>
          <w:lang w:eastAsia="zh-CN"/>
        </w:rPr>
      </w:pPr>
    </w:p>
    <w:p w14:paraId="02512A27">
      <w:pPr>
        <w:pStyle w:val="2"/>
        <w:rPr>
          <w:rFonts w:hint="eastAsia" w:cs="Times New Roman" w:asciiTheme="minorEastAsia" w:hAnsiTheme="minorEastAsia" w:eastAsiaTheme="minorEastAsia"/>
          <w:b/>
          <w:color w:val="auto"/>
          <w:kern w:val="2"/>
          <w:sz w:val="32"/>
          <w:szCs w:val="32"/>
          <w:highlight w:val="none"/>
          <w:lang w:eastAsia="zh-CN"/>
        </w:rPr>
      </w:pPr>
    </w:p>
    <w:p w14:paraId="4D457D4A">
      <w:pPr>
        <w:pStyle w:val="2"/>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14:paraId="3F4BCF29">
      <w:pPr>
        <w:pStyle w:val="2"/>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14:paraId="4EA42CDF">
      <w:pPr>
        <w:pStyle w:val="2"/>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14:paraId="2EC75E4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643" w:firstLineChars="200"/>
        <w:jc w:val="center"/>
        <w:textAlignment w:val="auto"/>
        <w:rPr>
          <w:rFonts w:hint="eastAsia" w:cs="Times New Roman" w:asciiTheme="minorEastAsia" w:hAnsiTheme="minorEastAsia" w:eastAsiaTheme="minorEastAsia"/>
          <w:b/>
          <w:color w:val="auto"/>
          <w:kern w:val="2"/>
          <w:sz w:val="32"/>
          <w:szCs w:val="32"/>
          <w:highlight w:val="none"/>
          <w:lang w:eastAsia="zh-CN"/>
        </w:rPr>
      </w:pPr>
      <w:r>
        <w:rPr>
          <w:rFonts w:hint="eastAsia" w:cs="Times New Roman" w:asciiTheme="minorEastAsia" w:hAnsiTheme="minorEastAsia" w:eastAsiaTheme="minorEastAsia"/>
          <w:b/>
          <w:color w:val="auto"/>
          <w:kern w:val="2"/>
          <w:sz w:val="32"/>
          <w:szCs w:val="32"/>
          <w:highlight w:val="none"/>
          <w:lang w:eastAsia="zh-CN"/>
        </w:rPr>
        <w:t>合同通用条款</w:t>
      </w:r>
    </w:p>
    <w:p w14:paraId="3432FEC4">
      <w:pPr>
        <w:spacing w:before="120" w:after="0" w:line="360" w:lineRule="exact"/>
        <w:jc w:val="both"/>
        <w:rPr>
          <w:rFonts w:ascii="宋体" w:hAnsi="宋体" w:cs="Times New Roman"/>
          <w:b/>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一、</w:t>
      </w:r>
      <w:r>
        <w:rPr>
          <w:rFonts w:hint="eastAsia" w:ascii="宋体" w:hAnsi="宋体" w:cs="Times New Roman"/>
          <w:b/>
          <w:color w:val="auto"/>
          <w:kern w:val="2"/>
          <w:sz w:val="21"/>
          <w:szCs w:val="21"/>
          <w:highlight w:val="none"/>
          <w:u w:val="none"/>
          <w:lang w:eastAsia="zh-CN"/>
        </w:rPr>
        <w:t>乙方承诺</w:t>
      </w:r>
    </w:p>
    <w:p w14:paraId="27DCE7B0">
      <w:pPr>
        <w:pStyle w:val="21"/>
        <w:numPr>
          <w:ilvl w:val="0"/>
          <w:numId w:val="0"/>
        </w:numPr>
        <w:spacing w:before="120" w:line="360" w:lineRule="exact"/>
        <w:ind w:left="66" w:leftChars="0" w:firstLine="420" w:firstLineChars="200"/>
        <w:rPr>
          <w:rFonts w:ascii="宋体" w:hAnsi="宋体"/>
          <w:b/>
          <w:color w:val="auto"/>
          <w:szCs w:val="21"/>
          <w:highlight w:val="none"/>
          <w:u w:val="singl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甲方</w:t>
      </w:r>
      <w:r>
        <w:rPr>
          <w:rFonts w:hint="eastAsia" w:ascii="宋体" w:hAnsi="宋体"/>
          <w:color w:val="auto"/>
          <w:szCs w:val="21"/>
          <w:highlight w:val="none"/>
        </w:rPr>
        <w:t>依据本合同条款向</w:t>
      </w:r>
      <w:r>
        <w:rPr>
          <w:rFonts w:hint="eastAsia" w:ascii="宋体" w:hAnsi="宋体"/>
          <w:color w:val="auto"/>
          <w:szCs w:val="21"/>
          <w:highlight w:val="none"/>
          <w:lang w:eastAsia="zh-CN"/>
        </w:rPr>
        <w:t>乙方</w:t>
      </w:r>
      <w:r>
        <w:rPr>
          <w:rFonts w:hint="eastAsia" w:ascii="宋体" w:hAnsi="宋体"/>
          <w:color w:val="auto"/>
          <w:szCs w:val="21"/>
          <w:highlight w:val="none"/>
        </w:rPr>
        <w:t>进行产品采购，</w:t>
      </w:r>
      <w:r>
        <w:rPr>
          <w:rFonts w:hint="eastAsia" w:ascii="宋体" w:hAnsi="宋体"/>
          <w:color w:val="auto"/>
          <w:szCs w:val="21"/>
          <w:highlight w:val="none"/>
          <w:lang w:eastAsia="zh-CN"/>
        </w:rPr>
        <w:t>乙方</w:t>
      </w:r>
      <w:r>
        <w:rPr>
          <w:rFonts w:hint="eastAsia" w:ascii="宋体" w:hAnsi="宋体"/>
          <w:color w:val="auto"/>
          <w:szCs w:val="21"/>
          <w:highlight w:val="none"/>
        </w:rPr>
        <w:t>同意依据本</w:t>
      </w:r>
      <w:r>
        <w:rPr>
          <w:rFonts w:ascii="宋体" w:hAnsi="宋体"/>
          <w:color w:val="auto"/>
          <w:szCs w:val="21"/>
          <w:highlight w:val="none"/>
        </w:rPr>
        <w:t>合同的约定</w:t>
      </w:r>
      <w:r>
        <w:rPr>
          <w:rFonts w:hint="eastAsia" w:ascii="宋体" w:hAnsi="宋体"/>
          <w:color w:val="auto"/>
          <w:szCs w:val="21"/>
          <w:highlight w:val="none"/>
        </w:rPr>
        <w:t>向</w:t>
      </w:r>
      <w:r>
        <w:rPr>
          <w:rFonts w:hint="eastAsia" w:ascii="宋体" w:hAnsi="宋体"/>
          <w:color w:val="auto"/>
          <w:szCs w:val="21"/>
          <w:highlight w:val="none"/>
          <w:lang w:eastAsia="zh-CN"/>
        </w:rPr>
        <w:t>甲方</w:t>
      </w:r>
      <w:r>
        <w:rPr>
          <w:rFonts w:ascii="宋体" w:hAnsi="宋体"/>
          <w:color w:val="auto"/>
          <w:szCs w:val="21"/>
          <w:highlight w:val="none"/>
        </w:rPr>
        <w:t>销售</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w:t>
      </w:r>
    </w:p>
    <w:p w14:paraId="05D6E9C6">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乙方</w:t>
      </w:r>
      <w:r>
        <w:rPr>
          <w:rFonts w:hint="eastAsia" w:ascii="宋体" w:hAnsi="宋体"/>
          <w:color w:val="auto"/>
          <w:szCs w:val="21"/>
          <w:highlight w:val="none"/>
        </w:rPr>
        <w:t>理解并同意，在适用的管辖范围内已被合法授权从事经营并将应</w:t>
      </w:r>
      <w:r>
        <w:rPr>
          <w:rFonts w:hint="eastAsia" w:ascii="宋体" w:hAnsi="宋体"/>
          <w:color w:val="auto"/>
          <w:szCs w:val="21"/>
          <w:highlight w:val="none"/>
          <w:lang w:eastAsia="zh-CN"/>
        </w:rPr>
        <w:t>甲方</w:t>
      </w:r>
      <w:r>
        <w:rPr>
          <w:rFonts w:hint="eastAsia" w:ascii="宋体" w:hAnsi="宋体"/>
          <w:color w:val="auto"/>
          <w:szCs w:val="21"/>
          <w:highlight w:val="none"/>
        </w:rPr>
        <w:t>要求提供相</w:t>
      </w:r>
      <w:r>
        <w:rPr>
          <w:rFonts w:ascii="宋体" w:hAnsi="宋体"/>
          <w:color w:val="auto"/>
          <w:szCs w:val="21"/>
          <w:highlight w:val="none"/>
        </w:rPr>
        <w:t>关的</w:t>
      </w:r>
      <w:r>
        <w:rPr>
          <w:rFonts w:hint="eastAsia" w:ascii="宋体" w:hAnsi="宋体"/>
          <w:color w:val="auto"/>
          <w:szCs w:val="21"/>
          <w:highlight w:val="none"/>
        </w:rPr>
        <w:t>授权证明。如在任何时间，该等授权证明失效或未续授权，</w:t>
      </w:r>
      <w:r>
        <w:rPr>
          <w:rFonts w:hint="eastAsia" w:ascii="宋体" w:hAnsi="宋体"/>
          <w:color w:val="auto"/>
          <w:szCs w:val="21"/>
          <w:highlight w:val="none"/>
          <w:lang w:eastAsia="zh-CN"/>
        </w:rPr>
        <w:t>乙方</w:t>
      </w:r>
      <w:r>
        <w:rPr>
          <w:rFonts w:ascii="宋体" w:hAnsi="宋体"/>
          <w:color w:val="auto"/>
          <w:szCs w:val="21"/>
          <w:highlight w:val="none"/>
        </w:rPr>
        <w:t>应在</w:t>
      </w:r>
      <w:r>
        <w:rPr>
          <w:rFonts w:hint="eastAsia" w:ascii="宋体" w:hAnsi="宋体"/>
          <w:color w:val="auto"/>
          <w:szCs w:val="21"/>
          <w:highlight w:val="none"/>
          <w:lang w:eastAsia="zh-CN"/>
        </w:rPr>
        <w:t>甲方</w:t>
      </w:r>
      <w:r>
        <w:rPr>
          <w:rFonts w:ascii="宋体" w:hAnsi="宋体"/>
          <w:color w:val="auto"/>
          <w:szCs w:val="21"/>
          <w:highlight w:val="none"/>
        </w:rPr>
        <w:t>要求的时间内重新取得合法的授权证明，否则</w:t>
      </w:r>
      <w:r>
        <w:rPr>
          <w:rFonts w:hint="eastAsia" w:ascii="宋体" w:hAnsi="宋体"/>
          <w:color w:val="auto"/>
          <w:szCs w:val="21"/>
          <w:highlight w:val="none"/>
          <w:lang w:eastAsia="zh-CN"/>
        </w:rPr>
        <w:t>甲方</w:t>
      </w:r>
      <w:r>
        <w:rPr>
          <w:rFonts w:hint="eastAsia" w:ascii="宋体" w:hAnsi="宋体"/>
          <w:color w:val="auto"/>
          <w:szCs w:val="21"/>
          <w:highlight w:val="none"/>
        </w:rPr>
        <w:t>有权自行决定终止本合同而不</w:t>
      </w:r>
      <w:r>
        <w:rPr>
          <w:rFonts w:ascii="宋体" w:hAnsi="宋体"/>
          <w:color w:val="auto"/>
          <w:szCs w:val="21"/>
          <w:highlight w:val="none"/>
        </w:rPr>
        <w:t>视为</w:t>
      </w:r>
      <w:r>
        <w:rPr>
          <w:rFonts w:hint="eastAsia" w:ascii="宋体" w:hAnsi="宋体"/>
          <w:color w:val="auto"/>
          <w:szCs w:val="21"/>
          <w:highlight w:val="none"/>
          <w:lang w:eastAsia="zh-CN"/>
        </w:rPr>
        <w:t>甲方</w:t>
      </w:r>
      <w:r>
        <w:rPr>
          <w:rFonts w:ascii="宋体" w:hAnsi="宋体"/>
          <w:color w:val="auto"/>
          <w:szCs w:val="21"/>
          <w:highlight w:val="none"/>
        </w:rPr>
        <w:t>的违约，如</w:t>
      </w:r>
      <w:r>
        <w:rPr>
          <w:rFonts w:hint="eastAsia" w:ascii="宋体" w:hAnsi="宋体"/>
          <w:color w:val="auto"/>
          <w:szCs w:val="21"/>
          <w:highlight w:val="none"/>
        </w:rPr>
        <w:t>因</w:t>
      </w:r>
      <w:r>
        <w:rPr>
          <w:rFonts w:ascii="宋体" w:hAnsi="宋体"/>
          <w:color w:val="auto"/>
          <w:szCs w:val="21"/>
          <w:highlight w:val="none"/>
        </w:rPr>
        <w:t>此给</w:t>
      </w:r>
      <w:r>
        <w:rPr>
          <w:rFonts w:hint="eastAsia" w:ascii="宋体" w:hAnsi="宋体"/>
          <w:color w:val="auto"/>
          <w:szCs w:val="21"/>
          <w:highlight w:val="none"/>
          <w:lang w:eastAsia="zh-CN"/>
        </w:rPr>
        <w:t>甲方</w:t>
      </w:r>
      <w:r>
        <w:rPr>
          <w:rFonts w:ascii="宋体" w:hAnsi="宋体"/>
          <w:color w:val="auto"/>
          <w:szCs w:val="21"/>
          <w:highlight w:val="none"/>
        </w:rPr>
        <w:t>造成损失</w:t>
      </w:r>
      <w:r>
        <w:rPr>
          <w:rFonts w:hint="eastAsia" w:ascii="宋体" w:hAnsi="宋体"/>
          <w:color w:val="auto"/>
          <w:szCs w:val="21"/>
          <w:highlight w:val="none"/>
        </w:rPr>
        <w:t>的</w:t>
      </w:r>
      <w:r>
        <w:rPr>
          <w:rFonts w:ascii="宋体" w:hAnsi="宋体"/>
          <w:color w:val="auto"/>
          <w:szCs w:val="21"/>
          <w:highlight w:val="none"/>
        </w:rPr>
        <w:t>，</w:t>
      </w:r>
      <w:r>
        <w:rPr>
          <w:rFonts w:hint="eastAsia" w:ascii="宋体" w:hAnsi="宋体"/>
          <w:color w:val="auto"/>
          <w:szCs w:val="21"/>
          <w:highlight w:val="none"/>
          <w:lang w:eastAsia="zh-CN"/>
        </w:rPr>
        <w:t>甲方</w:t>
      </w:r>
      <w:r>
        <w:rPr>
          <w:rFonts w:ascii="宋体" w:hAnsi="宋体"/>
          <w:color w:val="auto"/>
          <w:szCs w:val="21"/>
          <w:highlight w:val="none"/>
        </w:rPr>
        <w:t>还有权要求</w:t>
      </w:r>
      <w:r>
        <w:rPr>
          <w:rFonts w:hint="eastAsia" w:ascii="宋体" w:hAnsi="宋体"/>
          <w:color w:val="auto"/>
          <w:szCs w:val="21"/>
          <w:highlight w:val="none"/>
          <w:lang w:eastAsia="zh-CN"/>
        </w:rPr>
        <w:t>乙方</w:t>
      </w:r>
      <w:r>
        <w:rPr>
          <w:rFonts w:ascii="宋体" w:hAnsi="宋体"/>
          <w:color w:val="auto"/>
          <w:szCs w:val="21"/>
          <w:highlight w:val="none"/>
        </w:rPr>
        <w:t>赔偿</w:t>
      </w:r>
      <w:r>
        <w:rPr>
          <w:rFonts w:hint="eastAsia" w:ascii="宋体" w:hAnsi="宋体"/>
          <w:color w:val="auto"/>
          <w:szCs w:val="21"/>
          <w:highlight w:val="none"/>
        </w:rPr>
        <w:t>该</w:t>
      </w:r>
      <w:r>
        <w:rPr>
          <w:rFonts w:ascii="宋体" w:hAnsi="宋体"/>
          <w:color w:val="auto"/>
          <w:szCs w:val="21"/>
          <w:highlight w:val="none"/>
        </w:rPr>
        <w:t>等损失</w:t>
      </w:r>
      <w:r>
        <w:rPr>
          <w:rFonts w:hint="eastAsia" w:ascii="宋体" w:hAnsi="宋体"/>
          <w:color w:val="auto"/>
          <w:szCs w:val="21"/>
          <w:highlight w:val="none"/>
        </w:rPr>
        <w:t>。</w:t>
      </w:r>
    </w:p>
    <w:p w14:paraId="51A7F269">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olor w:val="auto"/>
          <w:szCs w:val="21"/>
          <w:highlight w:val="none"/>
        </w:rPr>
        <w:t>应自行承担成本和费用确保产品和服务人员在履行本合同项下服务之前有适当的健康、安全以及其它方面的妥善安排。</w:t>
      </w:r>
    </w:p>
    <w:p w14:paraId="5E2FB09C">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未获得</w:t>
      </w:r>
      <w:r>
        <w:rPr>
          <w:rFonts w:hint="eastAsia" w:ascii="宋体" w:hAnsi="宋体"/>
          <w:color w:val="auto"/>
          <w:szCs w:val="21"/>
          <w:highlight w:val="none"/>
          <w:lang w:eastAsia="zh-CN"/>
        </w:rPr>
        <w:t>甲方</w:t>
      </w:r>
      <w:r>
        <w:rPr>
          <w:rFonts w:hint="eastAsia" w:ascii="宋体" w:hAnsi="宋体"/>
          <w:color w:val="auto"/>
          <w:szCs w:val="21"/>
          <w:highlight w:val="none"/>
        </w:rPr>
        <w:t>的书面同意，</w:t>
      </w:r>
      <w:r>
        <w:rPr>
          <w:rFonts w:hint="eastAsia" w:ascii="宋体" w:hAnsi="宋体"/>
          <w:color w:val="auto"/>
          <w:szCs w:val="21"/>
          <w:highlight w:val="none"/>
          <w:lang w:eastAsia="zh-CN"/>
        </w:rPr>
        <w:t>乙方</w:t>
      </w:r>
      <w:r>
        <w:rPr>
          <w:rFonts w:hint="eastAsia" w:ascii="宋体" w:hAnsi="宋体"/>
          <w:color w:val="auto"/>
          <w:szCs w:val="21"/>
          <w:highlight w:val="none"/>
        </w:rPr>
        <w:t>不得向第三方发布或披露与本合同有关的任何细节。</w:t>
      </w:r>
    </w:p>
    <w:p w14:paraId="4BA111D9">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hint="eastAsia" w:ascii="宋体" w:hAnsi="宋体"/>
          <w:color w:val="auto"/>
          <w:szCs w:val="21"/>
          <w:highlight w:val="none"/>
        </w:rPr>
        <w:t>在此承诺将提供良好并具竞争力的服务，以满足</w:t>
      </w:r>
      <w:r>
        <w:rPr>
          <w:rFonts w:hint="eastAsia" w:ascii="宋体" w:hAnsi="宋体"/>
          <w:color w:val="auto"/>
          <w:szCs w:val="21"/>
          <w:highlight w:val="none"/>
          <w:lang w:eastAsia="zh-CN"/>
        </w:rPr>
        <w:t>甲方</w:t>
      </w:r>
      <w:r>
        <w:rPr>
          <w:rFonts w:hint="eastAsia" w:ascii="宋体" w:hAnsi="宋体"/>
          <w:color w:val="auto"/>
          <w:szCs w:val="21"/>
          <w:highlight w:val="none"/>
        </w:rPr>
        <w:t>的需要。</w:t>
      </w:r>
    </w:p>
    <w:p w14:paraId="3FA48A8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乙方</w:t>
      </w:r>
      <w:r>
        <w:rPr>
          <w:rFonts w:hint="eastAsia" w:ascii="宋体" w:hAnsi="宋体"/>
          <w:color w:val="auto"/>
          <w:szCs w:val="21"/>
          <w:highlight w:val="none"/>
        </w:rPr>
        <w:t>承诺并保证不制造、不经销任何假冒或者仿冒</w:t>
      </w:r>
      <w:r>
        <w:rPr>
          <w:rFonts w:hint="eastAsia" w:ascii="宋体" w:hAnsi="宋体"/>
          <w:color w:val="auto"/>
          <w:szCs w:val="21"/>
          <w:highlight w:val="none"/>
          <w:lang w:eastAsia="zh-CN"/>
        </w:rPr>
        <w:t>甲方</w:t>
      </w:r>
      <w:r>
        <w:rPr>
          <w:rFonts w:hint="eastAsia" w:ascii="宋体" w:hAnsi="宋体"/>
          <w:color w:val="auto"/>
          <w:szCs w:val="21"/>
          <w:highlight w:val="none"/>
        </w:rPr>
        <w:t>公司商标（图形或</w:t>
      </w:r>
      <w:r>
        <w:rPr>
          <w:rFonts w:ascii="宋体" w:hAnsi="宋体"/>
          <w:color w:val="auto"/>
          <w:szCs w:val="21"/>
          <w:highlight w:val="none"/>
        </w:rPr>
        <w:t>/和文字）与本协议产品相同、相似或相近的侵犯</w:t>
      </w:r>
      <w:r>
        <w:rPr>
          <w:rFonts w:hint="eastAsia" w:ascii="宋体" w:hAnsi="宋体"/>
          <w:color w:val="auto"/>
          <w:szCs w:val="21"/>
          <w:highlight w:val="none"/>
          <w:lang w:eastAsia="zh-CN"/>
        </w:rPr>
        <w:t>甲方</w:t>
      </w:r>
      <w:r>
        <w:rPr>
          <w:rFonts w:hint="eastAsia" w:ascii="宋体" w:hAnsi="宋体"/>
          <w:color w:val="auto"/>
          <w:szCs w:val="21"/>
          <w:highlight w:val="none"/>
        </w:rPr>
        <w:t>知识产权的产品。</w:t>
      </w:r>
      <w:r>
        <w:rPr>
          <w:rFonts w:hint="eastAsia" w:ascii="宋体" w:hAnsi="宋体"/>
          <w:color w:val="auto"/>
          <w:szCs w:val="21"/>
          <w:highlight w:val="none"/>
          <w:lang w:eastAsia="zh-CN"/>
        </w:rPr>
        <w:t>甲方</w:t>
      </w:r>
      <w:r>
        <w:rPr>
          <w:rFonts w:hint="eastAsia" w:ascii="宋体" w:hAnsi="宋体"/>
          <w:color w:val="auto"/>
          <w:szCs w:val="21"/>
          <w:highlight w:val="none"/>
        </w:rPr>
        <w:t>可就该等假冒、仿冒、违法销售等行为追究</w:t>
      </w:r>
      <w:r>
        <w:rPr>
          <w:rFonts w:hint="eastAsia" w:ascii="宋体" w:hAnsi="宋体"/>
          <w:color w:val="auto"/>
          <w:szCs w:val="21"/>
          <w:highlight w:val="none"/>
          <w:lang w:eastAsia="zh-CN"/>
        </w:rPr>
        <w:t>乙方</w:t>
      </w:r>
      <w:r>
        <w:rPr>
          <w:rFonts w:hint="eastAsia" w:ascii="宋体" w:hAnsi="宋体"/>
          <w:color w:val="auto"/>
          <w:szCs w:val="21"/>
          <w:highlight w:val="none"/>
        </w:rPr>
        <w:t>法律责</w:t>
      </w:r>
      <w:r>
        <w:rPr>
          <w:rFonts w:hint="eastAsia" w:ascii="宋体" w:hAnsi="宋体"/>
          <w:color w:val="auto"/>
          <w:szCs w:val="21"/>
          <w:highlight w:val="none"/>
          <w:lang w:val="en-US" w:eastAsia="zh-CN"/>
        </w:rPr>
        <w:t>任。</w:t>
      </w:r>
    </w:p>
    <w:p w14:paraId="2F37453B">
      <w:pPr>
        <w:pStyle w:val="2"/>
        <w:rPr>
          <w:rFonts w:hint="eastAsia" w:ascii="宋体" w:hAnsi="宋体"/>
          <w:color w:val="auto"/>
          <w:szCs w:val="21"/>
          <w:highlight w:val="none"/>
          <w:lang w:val="en-US" w:eastAsia="zh-CN"/>
        </w:rPr>
      </w:pPr>
    </w:p>
    <w:p w14:paraId="3DC937CE">
      <w:pPr>
        <w:pStyle w:val="2"/>
        <w:rPr>
          <w:rFonts w:hint="eastAsia" w:ascii="宋体" w:hAnsi="宋体"/>
          <w:color w:val="auto"/>
          <w:szCs w:val="21"/>
          <w:highlight w:val="none"/>
          <w:lang w:val="en-US" w:eastAsia="zh-CN"/>
        </w:rPr>
      </w:pPr>
    </w:p>
    <w:p w14:paraId="50C7FCB2">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color w:val="auto"/>
          <w:kern w:val="2"/>
          <w:sz w:val="21"/>
          <w:szCs w:val="21"/>
          <w:highlight w:val="none"/>
          <w:lang w:eastAsia="zh-CN"/>
        </w:rPr>
        <w:t>二、</w:t>
      </w:r>
      <w:r>
        <w:rPr>
          <w:rFonts w:hint="eastAsia" w:ascii="宋体" w:hAnsi="宋体" w:cs="Times New Roman"/>
          <w:b/>
          <w:color w:val="auto"/>
          <w:kern w:val="2"/>
          <w:sz w:val="21"/>
          <w:szCs w:val="21"/>
          <w:highlight w:val="none"/>
          <w:u w:val="none"/>
          <w:lang w:eastAsia="zh-CN"/>
        </w:rPr>
        <w:t>价格</w:t>
      </w:r>
    </w:p>
    <w:p w14:paraId="504DE25B">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本合同专用条款约定的标的价格包含</w:t>
      </w:r>
      <w:r>
        <w:rPr>
          <w:rFonts w:hint="eastAsia" w:ascii="宋体" w:hAnsi="宋体"/>
          <w:color w:val="auto"/>
          <w:szCs w:val="21"/>
          <w:highlight w:val="none"/>
          <w:lang w:eastAsia="zh-CN"/>
        </w:rPr>
        <w:t>乙方</w:t>
      </w:r>
      <w:r>
        <w:rPr>
          <w:rFonts w:hint="eastAsia" w:ascii="宋体" w:hAnsi="宋体"/>
          <w:color w:val="auto"/>
          <w:szCs w:val="21"/>
          <w:highlight w:val="none"/>
        </w:rPr>
        <w:t>将合同产品送至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指定的交货地点并交付给</w:t>
      </w:r>
      <w:r>
        <w:rPr>
          <w:rFonts w:hint="eastAsia" w:ascii="宋体" w:hAnsi="宋体"/>
          <w:color w:val="auto"/>
          <w:szCs w:val="21"/>
          <w:highlight w:val="none"/>
          <w:lang w:eastAsia="zh-CN"/>
        </w:rPr>
        <w:t>甲方</w:t>
      </w:r>
      <w:r>
        <w:rPr>
          <w:rFonts w:hint="eastAsia" w:ascii="宋体" w:hAnsi="宋体"/>
          <w:color w:val="auto"/>
          <w:szCs w:val="21"/>
          <w:highlight w:val="none"/>
        </w:rPr>
        <w:t>之前的所有费用（包括但不限于成本及利润、税金、包装费、运输费、保险费、仓储费、损耗费、劳务费、工人工资等）和后续费用（包括但不限于后续的合同产品验收、合同产品的安装、调试、移交、试运行、初验及终验、属于质保范围的保修和维修、技术服务）及政府机构征收的一切税费。</w:t>
      </w:r>
    </w:p>
    <w:p w14:paraId="2C598A8C">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合同产品正常运转所必须的部件、构件、附件和配件即便未单独或整体列入本合同条款或附件清单中，也均应被视为包括在本合同及本合同总价中。</w:t>
      </w:r>
    </w:p>
    <w:p w14:paraId="4E8F2AE4">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除另有约定之情况下，</w:t>
      </w:r>
      <w:r>
        <w:rPr>
          <w:rFonts w:hint="eastAsia" w:ascii="宋体" w:hAnsi="宋体"/>
          <w:color w:val="auto"/>
          <w:szCs w:val="21"/>
          <w:highlight w:val="none"/>
          <w:lang w:eastAsia="zh-CN"/>
        </w:rPr>
        <w:t>乙方</w:t>
      </w:r>
      <w:r>
        <w:rPr>
          <w:rFonts w:hint="eastAsia" w:ascii="宋体" w:hAnsi="宋体"/>
          <w:color w:val="auto"/>
          <w:szCs w:val="21"/>
          <w:highlight w:val="none"/>
        </w:rPr>
        <w:t>于本合同项下履行约定义务过程中，所有不可或缺的附带工作所产生的费用，不论该等工作是否在本合同文件中予以说明，亦不论是否已在双方签订合同时予以预见均已被包含在总价中。</w:t>
      </w:r>
    </w:p>
    <w:p w14:paraId="1468E67A">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lang w:val="de-DE" w:eastAsia="zh-CN"/>
        </w:rPr>
        <w:t>乙方</w:t>
      </w:r>
      <w:r>
        <w:rPr>
          <w:rFonts w:hint="eastAsia" w:ascii="宋体" w:hAnsi="宋体"/>
          <w:color w:val="auto"/>
          <w:kern w:val="0"/>
          <w:szCs w:val="21"/>
          <w:highlight w:val="none"/>
          <w:lang w:val="de-DE" w:eastAsia="de-DE"/>
        </w:rPr>
        <w:t>承诺在合同生效前后两个月内</w:t>
      </w:r>
      <w:r>
        <w:rPr>
          <w:rFonts w:hint="eastAsia" w:ascii="宋体" w:hAnsi="宋体"/>
          <w:color w:val="auto"/>
          <w:kern w:val="0"/>
          <w:szCs w:val="21"/>
          <w:highlight w:val="none"/>
          <w:lang w:val="de-DE"/>
        </w:rPr>
        <w:t>，</w:t>
      </w:r>
      <w:r>
        <w:rPr>
          <w:rFonts w:hint="eastAsia" w:ascii="宋体" w:hAnsi="宋体"/>
          <w:color w:val="auto"/>
          <w:kern w:val="0"/>
          <w:szCs w:val="21"/>
          <w:highlight w:val="none"/>
          <w:lang w:val="de-DE" w:eastAsia="de-DE"/>
        </w:rPr>
        <w:t>本合同项下产品价格不高于在</w:t>
      </w:r>
      <w:r>
        <w:rPr>
          <w:rFonts w:hint="eastAsia" w:ascii="宋体" w:hAnsi="宋体"/>
          <w:color w:val="auto"/>
          <w:kern w:val="0"/>
          <w:szCs w:val="21"/>
          <w:highlight w:val="none"/>
          <w:lang w:val="de-DE"/>
        </w:rPr>
        <w:t>同等</w:t>
      </w:r>
      <w:r>
        <w:rPr>
          <w:rFonts w:hint="eastAsia" w:ascii="宋体" w:hAnsi="宋体"/>
          <w:color w:val="auto"/>
          <w:kern w:val="0"/>
          <w:szCs w:val="21"/>
          <w:highlight w:val="none"/>
          <w:lang w:val="de-DE" w:eastAsia="de-DE"/>
        </w:rPr>
        <w:t>交易条件下</w:t>
      </w:r>
      <w:r>
        <w:rPr>
          <w:rFonts w:hint="eastAsia" w:ascii="宋体" w:hAnsi="宋体"/>
          <w:color w:val="auto"/>
          <w:kern w:val="0"/>
          <w:szCs w:val="21"/>
          <w:highlight w:val="none"/>
          <w:lang w:val="de-DE"/>
        </w:rPr>
        <w:t>该产品在公开市场上的交易价格（含报价）。</w:t>
      </w:r>
      <w:r>
        <w:rPr>
          <w:rFonts w:hint="eastAsia" w:ascii="宋体" w:hAnsi="宋体"/>
          <w:color w:val="auto"/>
          <w:szCs w:val="21"/>
          <w:highlight w:val="none"/>
          <w:lang w:eastAsia="zh-CN"/>
        </w:rPr>
        <w:t>乙方</w:t>
      </w:r>
      <w:r>
        <w:rPr>
          <w:rFonts w:ascii="宋体" w:hAnsi="宋体"/>
          <w:color w:val="auto"/>
          <w:szCs w:val="21"/>
          <w:highlight w:val="none"/>
        </w:rPr>
        <w:t>违反上述承诺的</w:t>
      </w:r>
      <w:r>
        <w:rPr>
          <w:rFonts w:hint="eastAsia" w:ascii="宋体" w:hAnsi="宋体"/>
          <w:color w:val="auto"/>
          <w:szCs w:val="21"/>
          <w:highlight w:val="none"/>
        </w:rPr>
        <w:t>，</w:t>
      </w:r>
      <w:r>
        <w:rPr>
          <w:rFonts w:ascii="宋体" w:hAnsi="宋体"/>
          <w:color w:val="auto"/>
          <w:szCs w:val="21"/>
          <w:highlight w:val="none"/>
        </w:rPr>
        <w:t>应当按合同专用条款约定之</w:t>
      </w:r>
      <w:r>
        <w:rPr>
          <w:rFonts w:hint="eastAsia" w:ascii="宋体" w:hAnsi="宋体"/>
          <w:color w:val="auto"/>
          <w:szCs w:val="21"/>
          <w:highlight w:val="none"/>
          <w:lang w:eastAsia="zh-CN"/>
        </w:rPr>
        <w:t>甲方</w:t>
      </w:r>
      <w:r>
        <w:rPr>
          <w:rFonts w:ascii="宋体" w:hAnsi="宋体"/>
          <w:color w:val="auto"/>
          <w:szCs w:val="21"/>
          <w:highlight w:val="none"/>
        </w:rPr>
        <w:t>采购价格与该</w:t>
      </w:r>
      <w:r>
        <w:rPr>
          <w:rFonts w:hint="eastAsia" w:ascii="宋体" w:hAnsi="宋体"/>
          <w:color w:val="auto"/>
          <w:szCs w:val="21"/>
          <w:highlight w:val="none"/>
        </w:rPr>
        <w:t>较</w:t>
      </w:r>
      <w:r>
        <w:rPr>
          <w:rFonts w:ascii="宋体" w:hAnsi="宋体"/>
          <w:color w:val="auto"/>
          <w:szCs w:val="21"/>
          <w:highlight w:val="none"/>
        </w:rPr>
        <w:t>低价之间差</w:t>
      </w:r>
      <w:r>
        <w:rPr>
          <w:rFonts w:hint="eastAsia" w:ascii="宋体" w:hAnsi="宋体"/>
          <w:color w:val="auto"/>
          <w:szCs w:val="21"/>
          <w:highlight w:val="none"/>
        </w:rPr>
        <w:t>额</w:t>
      </w:r>
      <w:r>
        <w:rPr>
          <w:rFonts w:ascii="宋体" w:hAnsi="宋体"/>
          <w:color w:val="auto"/>
          <w:szCs w:val="21"/>
          <w:highlight w:val="none"/>
        </w:rPr>
        <w:t>的两倍向</w:t>
      </w:r>
      <w:r>
        <w:rPr>
          <w:rFonts w:hint="eastAsia" w:ascii="宋体" w:hAnsi="宋体"/>
          <w:color w:val="auto"/>
          <w:szCs w:val="21"/>
          <w:highlight w:val="none"/>
          <w:lang w:eastAsia="zh-CN"/>
        </w:rPr>
        <w:t>甲方</w:t>
      </w:r>
      <w:r>
        <w:rPr>
          <w:rFonts w:ascii="宋体" w:hAnsi="宋体"/>
          <w:color w:val="auto"/>
          <w:szCs w:val="21"/>
          <w:highlight w:val="none"/>
        </w:rPr>
        <w:t>支付违约金</w:t>
      </w:r>
      <w:r>
        <w:rPr>
          <w:rFonts w:hint="eastAsia" w:ascii="宋体" w:hAnsi="宋体"/>
          <w:color w:val="auto"/>
          <w:szCs w:val="21"/>
          <w:highlight w:val="none"/>
        </w:rPr>
        <w:t>。</w:t>
      </w:r>
    </w:p>
    <w:p w14:paraId="5B23A1CE">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ascii="宋体" w:hAnsi="宋体"/>
          <w:color w:val="auto"/>
          <w:szCs w:val="21"/>
          <w:highlight w:val="none"/>
        </w:rPr>
        <w:t>同意将本合同项下应付款项用于抵扣</w:t>
      </w:r>
      <w:r>
        <w:rPr>
          <w:rFonts w:hint="eastAsia" w:ascii="宋体" w:hAnsi="宋体"/>
          <w:color w:val="auto"/>
          <w:szCs w:val="21"/>
          <w:highlight w:val="none"/>
        </w:rPr>
        <w:t>本合</w:t>
      </w:r>
      <w:r>
        <w:rPr>
          <w:rFonts w:ascii="宋体" w:hAnsi="宋体"/>
          <w:color w:val="auto"/>
          <w:szCs w:val="21"/>
          <w:highlight w:val="none"/>
        </w:rPr>
        <w:t>同项下</w:t>
      </w:r>
      <w:r>
        <w:rPr>
          <w:rFonts w:hint="eastAsia" w:ascii="宋体" w:hAnsi="宋体"/>
          <w:color w:val="auto"/>
          <w:szCs w:val="21"/>
          <w:highlight w:val="none"/>
          <w:lang w:eastAsia="zh-CN"/>
        </w:rPr>
        <w:t>乙方</w:t>
      </w:r>
      <w:r>
        <w:rPr>
          <w:rFonts w:hint="eastAsia" w:ascii="宋体" w:hAnsi="宋体"/>
          <w:color w:val="auto"/>
          <w:szCs w:val="21"/>
          <w:highlight w:val="none"/>
        </w:rPr>
        <w:t>拖欠</w:t>
      </w:r>
      <w:r>
        <w:rPr>
          <w:rFonts w:hint="eastAsia" w:ascii="宋体" w:hAnsi="宋体"/>
          <w:color w:val="auto"/>
          <w:szCs w:val="21"/>
          <w:highlight w:val="none"/>
          <w:lang w:eastAsia="zh-CN"/>
        </w:rPr>
        <w:t>甲方</w:t>
      </w:r>
      <w:r>
        <w:rPr>
          <w:rFonts w:hint="eastAsia" w:ascii="宋体" w:hAnsi="宋体"/>
          <w:color w:val="auto"/>
          <w:szCs w:val="21"/>
          <w:highlight w:val="none"/>
        </w:rPr>
        <w:t>的任何款项（如有，不限于违约金、赔偿金等）。</w:t>
      </w:r>
    </w:p>
    <w:p w14:paraId="7DDDA786">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三、</w:t>
      </w:r>
      <w:r>
        <w:rPr>
          <w:rFonts w:hint="eastAsia" w:ascii="宋体" w:hAnsi="宋体" w:cs="Times New Roman"/>
          <w:b/>
          <w:color w:val="auto"/>
          <w:kern w:val="2"/>
          <w:sz w:val="21"/>
          <w:szCs w:val="21"/>
          <w:highlight w:val="none"/>
          <w:u w:val="none"/>
          <w:lang w:eastAsia="zh-CN"/>
        </w:rPr>
        <w:t>包装和运输</w:t>
      </w:r>
    </w:p>
    <w:p w14:paraId="6346A56B">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ascii="宋体" w:hAnsi="宋体"/>
          <w:color w:val="auto"/>
          <w:szCs w:val="21"/>
          <w:highlight w:val="none"/>
        </w:rPr>
        <w:t>应提供合同产品运送至约定收货地址所需要的包装且保证相关包装材料坚固。根据合同产品特点和要求，</w:t>
      </w:r>
      <w:r>
        <w:rPr>
          <w:rFonts w:hint="eastAsia" w:ascii="宋体" w:hAnsi="宋体"/>
          <w:color w:val="auto"/>
          <w:szCs w:val="21"/>
          <w:highlight w:val="none"/>
          <w:lang w:eastAsia="zh-CN"/>
        </w:rPr>
        <w:t>乙方</w:t>
      </w:r>
      <w:r>
        <w:rPr>
          <w:rFonts w:ascii="宋体" w:hAnsi="宋体"/>
          <w:color w:val="auto"/>
          <w:szCs w:val="21"/>
          <w:highlight w:val="none"/>
        </w:rPr>
        <w:t>应采取防潮、防晒、防震、防压、防水及防止其他损坏的必要保护措施，从而保证合同产品免受雨水、潮湿、震荡和撞击的损坏，使其在正常装卸和搬运的条件下能够安全无损地抵达安装现场。相关合同产品的卸货工作由</w:t>
      </w:r>
      <w:r>
        <w:rPr>
          <w:rFonts w:hint="eastAsia" w:ascii="宋体" w:hAnsi="宋体"/>
          <w:color w:val="auto"/>
          <w:szCs w:val="21"/>
          <w:highlight w:val="none"/>
          <w:lang w:eastAsia="zh-CN"/>
        </w:rPr>
        <w:t>乙方</w:t>
      </w:r>
      <w:r>
        <w:rPr>
          <w:rFonts w:ascii="宋体" w:hAnsi="宋体"/>
          <w:color w:val="auto"/>
          <w:szCs w:val="21"/>
          <w:highlight w:val="none"/>
        </w:rPr>
        <w:t>负责完成。</w:t>
      </w:r>
    </w:p>
    <w:p w14:paraId="2DB7ACBE">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如因</w:t>
      </w:r>
      <w:r>
        <w:rPr>
          <w:rFonts w:hint="eastAsia" w:ascii="宋体" w:hAnsi="宋体"/>
          <w:color w:val="auto"/>
          <w:szCs w:val="21"/>
          <w:highlight w:val="none"/>
          <w:lang w:eastAsia="zh-CN"/>
        </w:rPr>
        <w:t>乙方</w:t>
      </w:r>
      <w:r>
        <w:rPr>
          <w:rFonts w:ascii="宋体" w:hAnsi="宋体"/>
          <w:color w:val="auto"/>
          <w:szCs w:val="21"/>
          <w:highlight w:val="none"/>
        </w:rPr>
        <w:t>在发货前未采取适当包装和/或不充分的保护措施而造成合同产品及配套材料的损坏或丢失，</w:t>
      </w:r>
      <w:r>
        <w:rPr>
          <w:rFonts w:hint="eastAsia" w:ascii="宋体" w:hAnsi="宋体"/>
          <w:color w:val="auto"/>
          <w:szCs w:val="21"/>
          <w:highlight w:val="none"/>
          <w:lang w:eastAsia="zh-CN"/>
        </w:rPr>
        <w:t>甲方</w:t>
      </w:r>
      <w:r>
        <w:rPr>
          <w:rFonts w:hint="eastAsia" w:ascii="宋体" w:hAnsi="宋体"/>
          <w:color w:val="auto"/>
          <w:szCs w:val="21"/>
          <w:highlight w:val="none"/>
        </w:rPr>
        <w:t>有权拒收或</w:t>
      </w:r>
      <w:r>
        <w:rPr>
          <w:rFonts w:ascii="宋体" w:hAnsi="宋体"/>
          <w:color w:val="auto"/>
          <w:szCs w:val="21"/>
          <w:highlight w:val="none"/>
        </w:rPr>
        <w:t>由</w:t>
      </w:r>
      <w:r>
        <w:rPr>
          <w:rFonts w:hint="eastAsia" w:ascii="宋体" w:hAnsi="宋体"/>
          <w:color w:val="auto"/>
          <w:szCs w:val="21"/>
          <w:highlight w:val="none"/>
          <w:lang w:eastAsia="zh-CN"/>
        </w:rPr>
        <w:t>乙方</w:t>
      </w:r>
      <w:r>
        <w:rPr>
          <w:rFonts w:ascii="宋体" w:hAnsi="宋体"/>
          <w:color w:val="auto"/>
          <w:szCs w:val="21"/>
          <w:highlight w:val="none"/>
        </w:rPr>
        <w:t>负责更换，并承担</w:t>
      </w:r>
      <w:r>
        <w:rPr>
          <w:rFonts w:hint="eastAsia" w:ascii="宋体" w:hAnsi="宋体"/>
          <w:color w:val="auto"/>
          <w:szCs w:val="21"/>
          <w:highlight w:val="none"/>
        </w:rPr>
        <w:t>违约责任及</w:t>
      </w:r>
      <w:r>
        <w:rPr>
          <w:rFonts w:ascii="宋体" w:hAnsi="宋体"/>
          <w:color w:val="auto"/>
          <w:szCs w:val="21"/>
          <w:highlight w:val="none"/>
        </w:rPr>
        <w:t>因此造成的延误责任以及由此导致</w:t>
      </w:r>
      <w:r>
        <w:rPr>
          <w:rFonts w:hint="eastAsia" w:ascii="宋体" w:hAnsi="宋体"/>
          <w:color w:val="auto"/>
          <w:szCs w:val="21"/>
          <w:highlight w:val="none"/>
          <w:lang w:eastAsia="zh-CN"/>
        </w:rPr>
        <w:t>甲方</w:t>
      </w:r>
      <w:r>
        <w:rPr>
          <w:rFonts w:ascii="宋体" w:hAnsi="宋体"/>
          <w:color w:val="auto"/>
          <w:szCs w:val="21"/>
          <w:highlight w:val="none"/>
        </w:rPr>
        <w:t>的经济损失。</w:t>
      </w:r>
    </w:p>
    <w:p w14:paraId="4461C7B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ascii="宋体" w:hAnsi="宋体"/>
          <w:color w:val="auto"/>
          <w:szCs w:val="21"/>
          <w:highlight w:val="none"/>
        </w:rPr>
        <w:t>应选择适合</w:t>
      </w:r>
      <w:r>
        <w:rPr>
          <w:rFonts w:hint="eastAsia" w:ascii="宋体" w:hAnsi="宋体"/>
          <w:color w:val="auto"/>
          <w:szCs w:val="21"/>
          <w:highlight w:val="none"/>
        </w:rPr>
        <w:t>合</w:t>
      </w:r>
      <w:r>
        <w:rPr>
          <w:rFonts w:ascii="宋体" w:hAnsi="宋体"/>
          <w:color w:val="auto"/>
          <w:szCs w:val="21"/>
          <w:highlight w:val="none"/>
        </w:rPr>
        <w:t>同产</w:t>
      </w:r>
      <w:r>
        <w:rPr>
          <w:rFonts w:hint="eastAsia" w:ascii="宋体" w:hAnsi="宋体"/>
          <w:color w:val="auto"/>
          <w:szCs w:val="21"/>
          <w:highlight w:val="none"/>
        </w:rPr>
        <w:t>品</w:t>
      </w:r>
      <w:r>
        <w:rPr>
          <w:rFonts w:ascii="宋体" w:hAnsi="宋体"/>
          <w:color w:val="auto"/>
          <w:szCs w:val="21"/>
          <w:highlight w:val="none"/>
        </w:rPr>
        <w:t>的方式运输</w:t>
      </w:r>
      <w:r>
        <w:rPr>
          <w:rFonts w:hint="eastAsia" w:ascii="宋体" w:hAnsi="宋体"/>
          <w:color w:val="auto"/>
          <w:szCs w:val="21"/>
          <w:highlight w:val="none"/>
        </w:rPr>
        <w:t>，如由于不可归责于任何一方的意外事件造成本合同产品在运输过程中丢失和</w:t>
      </w:r>
      <w:r>
        <w:rPr>
          <w:rFonts w:ascii="宋体" w:hAnsi="宋体"/>
          <w:color w:val="auto"/>
          <w:szCs w:val="21"/>
          <w:highlight w:val="none"/>
        </w:rPr>
        <w:t>/或损坏，</w:t>
      </w:r>
      <w:r>
        <w:rPr>
          <w:rFonts w:hint="eastAsia" w:ascii="宋体" w:hAnsi="宋体"/>
          <w:color w:val="auto"/>
          <w:szCs w:val="21"/>
          <w:highlight w:val="none"/>
          <w:lang w:eastAsia="zh-CN"/>
        </w:rPr>
        <w:t>乙方</w:t>
      </w:r>
      <w:r>
        <w:rPr>
          <w:rFonts w:ascii="宋体" w:hAnsi="宋体"/>
          <w:color w:val="auto"/>
          <w:szCs w:val="21"/>
          <w:highlight w:val="none"/>
        </w:rPr>
        <w:t>应尽快补齐丢失和/或损坏的产品及配套材料以使本合同得以及时、完整履行。由此造成</w:t>
      </w:r>
      <w:r>
        <w:rPr>
          <w:rFonts w:hint="eastAsia" w:ascii="宋体" w:hAnsi="宋体"/>
          <w:color w:val="auto"/>
          <w:szCs w:val="21"/>
          <w:highlight w:val="none"/>
          <w:lang w:eastAsia="zh-CN"/>
        </w:rPr>
        <w:t>甲方</w:t>
      </w:r>
      <w:r>
        <w:rPr>
          <w:rFonts w:ascii="宋体" w:hAnsi="宋体"/>
          <w:color w:val="auto"/>
          <w:szCs w:val="21"/>
          <w:highlight w:val="none"/>
        </w:rPr>
        <w:t>损失的，双方按照公平原则协商处理。</w:t>
      </w:r>
    </w:p>
    <w:p w14:paraId="4E5B9844">
      <w:pPr>
        <w:spacing w:before="120" w:after="0" w:line="360" w:lineRule="exact"/>
        <w:jc w:val="both"/>
        <w:rPr>
          <w:rFonts w:ascii="宋体" w:hAnsi="宋体" w:cs="Times New Roman"/>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四、</w:t>
      </w:r>
      <w:r>
        <w:rPr>
          <w:rFonts w:hint="eastAsia" w:ascii="宋体" w:hAnsi="宋体" w:cs="Times New Roman"/>
          <w:b/>
          <w:color w:val="auto"/>
          <w:kern w:val="2"/>
          <w:sz w:val="21"/>
          <w:szCs w:val="21"/>
          <w:highlight w:val="none"/>
          <w:u w:val="none"/>
          <w:lang w:eastAsia="zh-CN"/>
        </w:rPr>
        <w:t>交货与验收</w:t>
      </w:r>
    </w:p>
    <w:p w14:paraId="02529A8A">
      <w:pPr>
        <w:pStyle w:val="21"/>
        <w:numPr>
          <w:ilvl w:val="0"/>
          <w:numId w:val="0"/>
        </w:numPr>
        <w:spacing w:before="120" w:line="360" w:lineRule="exact"/>
        <w:ind w:left="66" w:leftChars="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交货</w:t>
      </w:r>
    </w:p>
    <w:p w14:paraId="36E677F2">
      <w:pPr>
        <w:pStyle w:val="21"/>
        <w:numPr>
          <w:ilvl w:val="0"/>
          <w:numId w:val="7"/>
        </w:numPr>
        <w:tabs>
          <w:tab w:val="left" w:pos="993"/>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应当于专用条款</w:t>
      </w:r>
      <w:r>
        <w:rPr>
          <w:rFonts w:ascii="宋体" w:hAnsi="宋体"/>
          <w:color w:val="auto"/>
          <w:szCs w:val="21"/>
          <w:highlight w:val="none"/>
        </w:rPr>
        <w:t>约定的</w:t>
      </w:r>
      <w:r>
        <w:rPr>
          <w:rFonts w:hint="eastAsia" w:ascii="宋体" w:hAnsi="宋体"/>
          <w:color w:val="auto"/>
          <w:szCs w:val="21"/>
          <w:highlight w:val="none"/>
        </w:rPr>
        <w:t>交货日前</w:t>
      </w:r>
      <w:r>
        <w:rPr>
          <w:rFonts w:ascii="宋体" w:hAnsi="宋体"/>
          <w:color w:val="auto"/>
          <w:szCs w:val="21"/>
          <w:highlight w:val="none"/>
        </w:rPr>
        <w:t>将合同产品运送至</w:t>
      </w:r>
      <w:r>
        <w:rPr>
          <w:rFonts w:hint="eastAsia" w:ascii="宋体" w:hAnsi="宋体"/>
          <w:color w:val="auto"/>
          <w:szCs w:val="21"/>
          <w:highlight w:val="none"/>
          <w:lang w:eastAsia="zh-CN"/>
        </w:rPr>
        <w:t>甲方</w:t>
      </w:r>
      <w:r>
        <w:rPr>
          <w:rFonts w:ascii="宋体" w:hAnsi="宋体"/>
          <w:color w:val="auto"/>
          <w:szCs w:val="21"/>
          <w:highlight w:val="none"/>
        </w:rPr>
        <w:t>指定收货地点</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在交货前应通知</w:t>
      </w:r>
      <w:r>
        <w:rPr>
          <w:rFonts w:hint="eastAsia" w:ascii="宋体" w:hAnsi="宋体"/>
          <w:color w:val="auto"/>
          <w:szCs w:val="21"/>
          <w:highlight w:val="none"/>
          <w:lang w:eastAsia="zh-CN"/>
        </w:rPr>
        <w:t>甲方</w:t>
      </w:r>
      <w:r>
        <w:rPr>
          <w:rFonts w:hint="eastAsia" w:ascii="宋体" w:hAnsi="宋体"/>
          <w:color w:val="auto"/>
          <w:szCs w:val="21"/>
          <w:highlight w:val="none"/>
        </w:rPr>
        <w:t>准备收货</w:t>
      </w:r>
      <w:r>
        <w:rPr>
          <w:rFonts w:ascii="宋体" w:hAnsi="宋体"/>
          <w:color w:val="auto"/>
          <w:szCs w:val="21"/>
          <w:highlight w:val="none"/>
        </w:rPr>
        <w:t>,否则</w:t>
      </w:r>
      <w:r>
        <w:rPr>
          <w:rFonts w:hint="eastAsia" w:ascii="宋体" w:hAnsi="宋体"/>
          <w:color w:val="auto"/>
          <w:szCs w:val="21"/>
          <w:highlight w:val="none"/>
          <w:lang w:eastAsia="zh-CN"/>
        </w:rPr>
        <w:t>甲方</w:t>
      </w:r>
      <w:r>
        <w:rPr>
          <w:rFonts w:ascii="宋体" w:hAnsi="宋体"/>
          <w:color w:val="auto"/>
          <w:szCs w:val="21"/>
          <w:highlight w:val="none"/>
        </w:rPr>
        <w:t>有权拒绝接收。</w:t>
      </w:r>
      <w:r>
        <w:rPr>
          <w:rFonts w:hint="eastAsia" w:ascii="宋体" w:hAnsi="宋体"/>
          <w:color w:val="auto"/>
          <w:szCs w:val="21"/>
          <w:highlight w:val="none"/>
          <w:lang w:eastAsia="zh-CN"/>
        </w:rPr>
        <w:t>甲方</w:t>
      </w:r>
      <w:r>
        <w:rPr>
          <w:rFonts w:hint="eastAsia" w:ascii="宋体" w:hAnsi="宋体"/>
          <w:color w:val="auto"/>
          <w:szCs w:val="21"/>
          <w:highlight w:val="none"/>
        </w:rPr>
        <w:t>要求延迟交货的应当在交货日前三</w:t>
      </w:r>
      <w:r>
        <w:rPr>
          <w:rFonts w:ascii="宋体" w:hAnsi="宋体"/>
          <w:color w:val="auto"/>
          <w:szCs w:val="21"/>
          <w:highlight w:val="none"/>
        </w:rPr>
        <w:t>天通知</w:t>
      </w:r>
      <w:r>
        <w:rPr>
          <w:rFonts w:hint="eastAsia" w:ascii="宋体" w:hAnsi="宋体"/>
          <w:color w:val="auto"/>
          <w:szCs w:val="21"/>
          <w:highlight w:val="none"/>
          <w:lang w:eastAsia="zh-CN"/>
        </w:rPr>
        <w:t>乙方</w:t>
      </w:r>
      <w:r>
        <w:rPr>
          <w:rFonts w:ascii="宋体" w:hAnsi="宋体"/>
          <w:color w:val="auto"/>
          <w:szCs w:val="21"/>
          <w:highlight w:val="none"/>
        </w:rPr>
        <w:t>。</w:t>
      </w:r>
    </w:p>
    <w:p w14:paraId="2830141E">
      <w:pPr>
        <w:pStyle w:val="21"/>
        <w:numPr>
          <w:ilvl w:val="0"/>
          <w:numId w:val="7"/>
        </w:numPr>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交货时，合</w:t>
      </w:r>
      <w:r>
        <w:rPr>
          <w:rFonts w:ascii="宋体" w:hAnsi="宋体"/>
          <w:color w:val="auto"/>
          <w:szCs w:val="21"/>
          <w:highlight w:val="none"/>
        </w:rPr>
        <w:t>同</w:t>
      </w:r>
      <w:r>
        <w:rPr>
          <w:rFonts w:hint="eastAsia" w:ascii="宋体" w:hAnsi="宋体"/>
          <w:color w:val="auto"/>
          <w:szCs w:val="21"/>
          <w:highlight w:val="none"/>
        </w:rPr>
        <w:t>产品须带有包含合同</w:t>
      </w:r>
      <w:r>
        <w:rPr>
          <w:rFonts w:ascii="宋体" w:hAnsi="宋体"/>
          <w:color w:val="auto"/>
          <w:szCs w:val="21"/>
          <w:highlight w:val="none"/>
        </w:rPr>
        <w:t>产品</w:t>
      </w:r>
      <w:r>
        <w:rPr>
          <w:rFonts w:hint="eastAsia" w:ascii="宋体" w:hAnsi="宋体"/>
          <w:color w:val="auto"/>
          <w:szCs w:val="21"/>
          <w:highlight w:val="none"/>
        </w:rPr>
        <w:t>名称、数量、机组号、图号等</w:t>
      </w:r>
      <w:r>
        <w:rPr>
          <w:rFonts w:ascii="宋体" w:hAnsi="宋体"/>
          <w:color w:val="auto"/>
          <w:szCs w:val="21"/>
          <w:highlight w:val="none"/>
        </w:rPr>
        <w:t>相关</w:t>
      </w:r>
      <w:r>
        <w:rPr>
          <w:rFonts w:hint="eastAsia" w:ascii="宋体" w:hAnsi="宋体"/>
          <w:color w:val="auto"/>
          <w:szCs w:val="21"/>
          <w:highlight w:val="none"/>
        </w:rPr>
        <w:t>信息的详细送货</w:t>
      </w:r>
      <w:r>
        <w:rPr>
          <w:rFonts w:ascii="宋体" w:hAnsi="宋体"/>
          <w:color w:val="auto"/>
          <w:szCs w:val="21"/>
          <w:highlight w:val="none"/>
        </w:rPr>
        <w:t>单</w:t>
      </w:r>
      <w:r>
        <w:rPr>
          <w:rFonts w:hint="eastAsia" w:ascii="宋体" w:hAnsi="宋体"/>
          <w:color w:val="auto"/>
          <w:szCs w:val="21"/>
          <w:highlight w:val="none"/>
        </w:rPr>
        <w:t>、产</w:t>
      </w:r>
      <w:r>
        <w:rPr>
          <w:rFonts w:ascii="宋体" w:hAnsi="宋体"/>
          <w:color w:val="auto"/>
          <w:szCs w:val="21"/>
          <w:highlight w:val="none"/>
        </w:rPr>
        <w:t>品</w:t>
      </w:r>
      <w:r>
        <w:rPr>
          <w:rFonts w:hint="eastAsia" w:ascii="宋体" w:hAnsi="宋体"/>
          <w:color w:val="auto"/>
          <w:szCs w:val="21"/>
          <w:highlight w:val="none"/>
        </w:rPr>
        <w:t>合格证及产品出厂检测报告（如有）、发货证明等相</w:t>
      </w:r>
      <w:r>
        <w:rPr>
          <w:rFonts w:ascii="宋体" w:hAnsi="宋体"/>
          <w:color w:val="auto"/>
          <w:szCs w:val="21"/>
          <w:highlight w:val="none"/>
        </w:rPr>
        <w:t>关附属材料</w:t>
      </w:r>
      <w:r>
        <w:rPr>
          <w:rFonts w:hint="eastAsia" w:ascii="宋体" w:hAnsi="宋体"/>
          <w:color w:val="auto"/>
          <w:szCs w:val="21"/>
          <w:highlight w:val="none"/>
        </w:rPr>
        <w:t>。</w:t>
      </w:r>
    </w:p>
    <w:p w14:paraId="34DDEBED">
      <w:pPr>
        <w:pStyle w:val="21"/>
        <w:numPr>
          <w:ilvl w:val="0"/>
          <w:numId w:val="7"/>
        </w:numPr>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如是进口产品，</w:t>
      </w:r>
      <w:r>
        <w:rPr>
          <w:rFonts w:hint="eastAsia" w:ascii="宋体" w:hAnsi="宋体"/>
          <w:color w:val="auto"/>
          <w:szCs w:val="21"/>
          <w:highlight w:val="none"/>
          <w:lang w:eastAsia="zh-CN"/>
        </w:rPr>
        <w:t>乙方</w:t>
      </w:r>
      <w:r>
        <w:rPr>
          <w:rFonts w:hint="eastAsia" w:ascii="宋体" w:hAnsi="宋体"/>
          <w:color w:val="auto"/>
          <w:szCs w:val="21"/>
          <w:highlight w:val="none"/>
        </w:rPr>
        <w:t>应于</w:t>
      </w:r>
      <w:r>
        <w:rPr>
          <w:rFonts w:ascii="宋体" w:hAnsi="宋体"/>
          <w:color w:val="auto"/>
          <w:szCs w:val="21"/>
          <w:highlight w:val="none"/>
        </w:rPr>
        <w:t>交货时</w:t>
      </w:r>
      <w:r>
        <w:rPr>
          <w:rFonts w:hint="eastAsia" w:ascii="宋体" w:hAnsi="宋体"/>
          <w:color w:val="auto"/>
          <w:szCs w:val="21"/>
          <w:highlight w:val="none"/>
        </w:rPr>
        <w:t>提供原产地证明、原厂测试报告、报关单等相关文件，并负责清关事宜。</w:t>
      </w:r>
    </w:p>
    <w:p w14:paraId="6492C221">
      <w:pPr>
        <w:pStyle w:val="21"/>
        <w:numPr>
          <w:ilvl w:val="0"/>
          <w:numId w:val="0"/>
        </w:numPr>
        <w:spacing w:before="120" w:line="360" w:lineRule="exac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安装调试</w:t>
      </w:r>
    </w:p>
    <w:p w14:paraId="0EA3E24C">
      <w:pPr>
        <w:pStyle w:val="21"/>
        <w:spacing w:before="120" w:line="360" w:lineRule="exact"/>
        <w:ind w:left="426" w:firstLine="0" w:firstLineChars="0"/>
        <w:rPr>
          <w:rFonts w:hint="eastAsia" w:ascii="宋体" w:hAnsi="宋体"/>
          <w:color w:val="auto"/>
          <w:szCs w:val="21"/>
          <w:highlight w:val="none"/>
        </w:rPr>
      </w:pPr>
      <w:r>
        <w:rPr>
          <w:rFonts w:hint="eastAsia" w:ascii="宋体" w:hAnsi="宋体"/>
          <w:color w:val="auto"/>
          <w:szCs w:val="21"/>
          <w:highlight w:val="none"/>
        </w:rPr>
        <w:t>如双方约定由</w:t>
      </w:r>
      <w:r>
        <w:rPr>
          <w:rFonts w:hint="eastAsia" w:ascii="宋体" w:hAnsi="宋体"/>
          <w:color w:val="auto"/>
          <w:szCs w:val="21"/>
          <w:highlight w:val="none"/>
          <w:lang w:eastAsia="zh-CN"/>
        </w:rPr>
        <w:t>乙方</w:t>
      </w:r>
      <w:r>
        <w:rPr>
          <w:rFonts w:hint="eastAsia" w:ascii="宋体" w:hAnsi="宋体"/>
          <w:color w:val="auto"/>
          <w:szCs w:val="21"/>
          <w:highlight w:val="none"/>
        </w:rPr>
        <w:t>安装、调试的，</w:t>
      </w:r>
      <w:r>
        <w:rPr>
          <w:rFonts w:hint="eastAsia" w:ascii="宋体" w:hAnsi="宋体"/>
          <w:color w:val="auto"/>
          <w:szCs w:val="21"/>
          <w:highlight w:val="none"/>
          <w:lang w:eastAsia="zh-CN"/>
        </w:rPr>
        <w:t>乙方</w:t>
      </w:r>
      <w:r>
        <w:rPr>
          <w:rFonts w:hint="eastAsia" w:ascii="宋体" w:hAnsi="宋体"/>
          <w:color w:val="auto"/>
          <w:szCs w:val="21"/>
          <w:highlight w:val="none"/>
        </w:rPr>
        <w:t>应指定符合资质的专业人员严格按照相关安装技术规程及调试规程进行产品的全程安装和调试。</w:t>
      </w:r>
    </w:p>
    <w:p w14:paraId="4BA972AD">
      <w:pPr>
        <w:pStyle w:val="21"/>
        <w:spacing w:before="120" w:line="360" w:lineRule="exact"/>
        <w:ind w:left="0" w:leftChars="0" w:firstLine="0" w:firstLineChars="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验收</w:t>
      </w:r>
    </w:p>
    <w:p w14:paraId="6CEC49E1">
      <w:pPr>
        <w:pStyle w:val="21"/>
        <w:numPr>
          <w:ilvl w:val="0"/>
          <w:numId w:val="8"/>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外观验收：合同</w:t>
      </w:r>
      <w:r>
        <w:rPr>
          <w:rFonts w:ascii="宋体" w:hAnsi="宋体"/>
          <w:color w:val="auto"/>
          <w:szCs w:val="21"/>
          <w:highlight w:val="none"/>
        </w:rPr>
        <w:t>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w:t>
      </w:r>
      <w:r>
        <w:rPr>
          <w:rFonts w:ascii="宋体" w:hAnsi="宋体"/>
          <w:color w:val="auto"/>
          <w:szCs w:val="21"/>
          <w:highlight w:val="none"/>
        </w:rPr>
        <w:t>地点后</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应对产品数量、包装等外观质量进行初步检验，确认与合同标的相符后在相应</w:t>
      </w:r>
      <w:r>
        <w:rPr>
          <w:rFonts w:ascii="宋体" w:hAnsi="宋体"/>
          <w:color w:val="auto"/>
          <w:szCs w:val="21"/>
          <w:highlight w:val="none"/>
        </w:rPr>
        <w:t>的送货单据上签收</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的签收将不视为对合同产品质量的最终确认。</w:t>
      </w:r>
    </w:p>
    <w:p w14:paraId="2DFEC4CC">
      <w:pPr>
        <w:pStyle w:val="21"/>
        <w:numPr>
          <w:ilvl w:val="0"/>
          <w:numId w:val="8"/>
        </w:numPr>
        <w:tabs>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在</w:t>
      </w:r>
      <w:r>
        <w:rPr>
          <w:rFonts w:ascii="宋体" w:hAnsi="宋体"/>
          <w:color w:val="auto"/>
          <w:szCs w:val="21"/>
          <w:highlight w:val="none"/>
        </w:rPr>
        <w:t>签收过程中</w:t>
      </w:r>
      <w:r>
        <w:rPr>
          <w:rFonts w:hint="eastAsia" w:ascii="宋体" w:hAnsi="宋体"/>
          <w:color w:val="auto"/>
          <w:szCs w:val="21"/>
          <w:highlight w:val="none"/>
        </w:rPr>
        <w:t>如发现任何短缺、故障、损坏或与合同规定不符之处，</w:t>
      </w:r>
      <w:r>
        <w:rPr>
          <w:rFonts w:hint="eastAsia" w:ascii="宋体" w:hAnsi="宋体"/>
          <w:color w:val="auto"/>
          <w:szCs w:val="21"/>
          <w:highlight w:val="none"/>
          <w:lang w:eastAsia="zh-CN"/>
        </w:rPr>
        <w:t>甲方</w:t>
      </w:r>
      <w:r>
        <w:rPr>
          <w:rFonts w:hint="eastAsia" w:ascii="宋体" w:hAnsi="宋体"/>
          <w:color w:val="auto"/>
          <w:szCs w:val="21"/>
          <w:highlight w:val="none"/>
        </w:rPr>
        <w:t>有权</w:t>
      </w:r>
      <w:r>
        <w:rPr>
          <w:rFonts w:ascii="宋体" w:hAnsi="宋体"/>
          <w:color w:val="auto"/>
          <w:szCs w:val="21"/>
          <w:highlight w:val="none"/>
        </w:rPr>
        <w:t>拒收或在</w:t>
      </w:r>
      <w:r>
        <w:rPr>
          <w:rFonts w:hint="eastAsia" w:ascii="宋体" w:hAnsi="宋体"/>
          <w:color w:val="auto"/>
          <w:szCs w:val="21"/>
          <w:highlight w:val="none"/>
        </w:rPr>
        <w:t>送货</w:t>
      </w:r>
      <w:r>
        <w:rPr>
          <w:rFonts w:ascii="宋体" w:hAnsi="宋体"/>
          <w:color w:val="auto"/>
          <w:szCs w:val="21"/>
          <w:highlight w:val="none"/>
        </w:rPr>
        <w:t>单</w:t>
      </w:r>
      <w:r>
        <w:rPr>
          <w:rFonts w:hint="eastAsia" w:ascii="宋体" w:hAnsi="宋体"/>
          <w:color w:val="auto"/>
          <w:szCs w:val="21"/>
          <w:highlight w:val="none"/>
        </w:rPr>
        <w:t>据</w:t>
      </w:r>
      <w:r>
        <w:rPr>
          <w:rFonts w:ascii="宋体" w:hAnsi="宋体"/>
          <w:color w:val="auto"/>
          <w:szCs w:val="21"/>
          <w:highlight w:val="none"/>
        </w:rPr>
        <w:t>中注明</w:t>
      </w:r>
      <w:r>
        <w:rPr>
          <w:rFonts w:hint="eastAsia" w:ascii="宋体" w:hAnsi="宋体"/>
          <w:color w:val="auto"/>
          <w:szCs w:val="21"/>
          <w:highlight w:val="none"/>
        </w:rPr>
        <w:t>短缺、故障、损坏、与</w:t>
      </w:r>
      <w:r>
        <w:rPr>
          <w:rFonts w:ascii="宋体" w:hAnsi="宋体"/>
          <w:color w:val="auto"/>
          <w:szCs w:val="21"/>
          <w:highlight w:val="none"/>
        </w:rPr>
        <w:t>合同不符的情况后</w:t>
      </w:r>
      <w:r>
        <w:rPr>
          <w:rFonts w:hint="eastAsia" w:ascii="宋体" w:hAnsi="宋体"/>
          <w:color w:val="auto"/>
          <w:szCs w:val="21"/>
          <w:highlight w:val="none"/>
        </w:rPr>
        <w:t>部分</w:t>
      </w:r>
      <w:r>
        <w:rPr>
          <w:rFonts w:ascii="宋体" w:hAnsi="宋体"/>
          <w:color w:val="auto"/>
          <w:szCs w:val="21"/>
          <w:highlight w:val="none"/>
        </w:rPr>
        <w:t>签收</w:t>
      </w:r>
      <w:r>
        <w:rPr>
          <w:rFonts w:hint="eastAsia" w:ascii="宋体" w:hAnsi="宋体"/>
          <w:color w:val="auto"/>
          <w:szCs w:val="21"/>
          <w:highlight w:val="none"/>
        </w:rPr>
        <w:t>，双方签字确认的送货</w:t>
      </w:r>
      <w:r>
        <w:rPr>
          <w:rFonts w:ascii="宋体" w:hAnsi="宋体"/>
          <w:color w:val="auto"/>
          <w:szCs w:val="21"/>
          <w:highlight w:val="none"/>
        </w:rPr>
        <w:t>单</w:t>
      </w:r>
      <w:r>
        <w:rPr>
          <w:rFonts w:hint="eastAsia" w:ascii="宋体" w:hAnsi="宋体"/>
          <w:color w:val="auto"/>
          <w:szCs w:val="21"/>
          <w:highlight w:val="none"/>
        </w:rPr>
        <w:t>据作为更换、修理及赔偿的有效证据；经</w:t>
      </w:r>
      <w:r>
        <w:rPr>
          <w:rFonts w:hint="eastAsia" w:ascii="宋体" w:hAnsi="宋体"/>
          <w:color w:val="auto"/>
          <w:szCs w:val="21"/>
          <w:highlight w:val="none"/>
          <w:lang w:eastAsia="zh-CN"/>
        </w:rPr>
        <w:t>乙方</w:t>
      </w:r>
      <w:r>
        <w:rPr>
          <w:rFonts w:hint="eastAsia" w:ascii="宋体" w:hAnsi="宋体"/>
          <w:color w:val="auto"/>
          <w:szCs w:val="21"/>
          <w:highlight w:val="none"/>
        </w:rPr>
        <w:t>更换、修理达到要求后，</w:t>
      </w:r>
      <w:r>
        <w:rPr>
          <w:rFonts w:hint="eastAsia" w:ascii="宋体" w:hAnsi="宋体"/>
          <w:color w:val="auto"/>
          <w:szCs w:val="21"/>
          <w:highlight w:val="none"/>
          <w:lang w:eastAsia="zh-CN"/>
        </w:rPr>
        <w:t>甲方</w:t>
      </w:r>
      <w:r>
        <w:rPr>
          <w:rFonts w:hint="eastAsia" w:ascii="宋体" w:hAnsi="宋体"/>
          <w:color w:val="auto"/>
          <w:szCs w:val="21"/>
          <w:highlight w:val="none"/>
        </w:rPr>
        <w:t>对</w:t>
      </w:r>
      <w:r>
        <w:rPr>
          <w:rFonts w:ascii="宋体" w:hAnsi="宋体"/>
          <w:color w:val="auto"/>
          <w:szCs w:val="21"/>
          <w:highlight w:val="none"/>
        </w:rPr>
        <w:t>更换、修理后的合同产品重新签收</w:t>
      </w:r>
      <w:r>
        <w:rPr>
          <w:rFonts w:hint="eastAsia" w:ascii="宋体" w:hAnsi="宋体"/>
          <w:color w:val="auto"/>
          <w:szCs w:val="21"/>
          <w:highlight w:val="none"/>
        </w:rPr>
        <w:t>。</w:t>
      </w:r>
    </w:p>
    <w:p w14:paraId="446C1FD8">
      <w:pPr>
        <w:pStyle w:val="21"/>
        <w:numPr>
          <w:ilvl w:val="0"/>
          <w:numId w:val="8"/>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应在合同产品签收且</w:t>
      </w:r>
      <w:r>
        <w:rPr>
          <w:rFonts w:ascii="宋体" w:hAnsi="宋体"/>
          <w:color w:val="auto"/>
          <w:szCs w:val="21"/>
          <w:highlight w:val="none"/>
        </w:rPr>
        <w:t>安装、</w:t>
      </w:r>
      <w:r>
        <w:rPr>
          <w:rFonts w:hint="eastAsia" w:ascii="宋体" w:hAnsi="宋体"/>
          <w:color w:val="auto"/>
          <w:szCs w:val="21"/>
          <w:highlight w:val="none"/>
        </w:rPr>
        <w:t>调试</w:t>
      </w:r>
      <w:r>
        <w:rPr>
          <w:rFonts w:ascii="宋体" w:hAnsi="宋体"/>
          <w:color w:val="auto"/>
          <w:szCs w:val="21"/>
          <w:highlight w:val="none"/>
        </w:rPr>
        <w:t>完成</w:t>
      </w:r>
      <w:r>
        <w:rPr>
          <w:rFonts w:hint="eastAsia" w:ascii="宋体" w:hAnsi="宋体"/>
          <w:color w:val="auto"/>
          <w:szCs w:val="21"/>
          <w:highlight w:val="none"/>
        </w:rPr>
        <w:t>后（</w:t>
      </w:r>
      <w:r>
        <w:rPr>
          <w:rFonts w:ascii="宋体" w:hAnsi="宋体"/>
          <w:color w:val="auto"/>
          <w:szCs w:val="21"/>
          <w:highlight w:val="none"/>
        </w:rPr>
        <w:t>如需</w:t>
      </w:r>
      <w:r>
        <w:rPr>
          <w:rFonts w:hint="eastAsia" w:ascii="宋体" w:hAnsi="宋体"/>
          <w:color w:val="auto"/>
          <w:szCs w:val="21"/>
          <w:highlight w:val="none"/>
        </w:rPr>
        <w:t>要</w:t>
      </w:r>
      <w:r>
        <w:rPr>
          <w:rFonts w:ascii="宋体" w:hAnsi="宋体"/>
          <w:color w:val="auto"/>
          <w:szCs w:val="21"/>
          <w:highlight w:val="none"/>
        </w:rPr>
        <w:t>）</w:t>
      </w:r>
      <w:r>
        <w:rPr>
          <w:rFonts w:hint="eastAsia" w:ascii="宋体" w:hAnsi="宋体"/>
          <w:color w:val="auto"/>
          <w:szCs w:val="21"/>
          <w:highlight w:val="none"/>
        </w:rPr>
        <w:t>尽快根据本合同约定的质量标准对产品进行最终验收，如有任何异议，应及时向</w:t>
      </w:r>
      <w:r>
        <w:rPr>
          <w:rFonts w:hint="eastAsia" w:ascii="宋体" w:hAnsi="宋体"/>
          <w:color w:val="auto"/>
          <w:szCs w:val="21"/>
          <w:highlight w:val="none"/>
          <w:lang w:eastAsia="zh-CN"/>
        </w:rPr>
        <w:t>乙方</w:t>
      </w:r>
      <w:r>
        <w:rPr>
          <w:rFonts w:hint="eastAsia" w:ascii="宋体" w:hAnsi="宋体"/>
          <w:color w:val="auto"/>
          <w:szCs w:val="21"/>
          <w:highlight w:val="none"/>
        </w:rPr>
        <w:t>提出，</w:t>
      </w:r>
      <w:r>
        <w:rPr>
          <w:rFonts w:hint="eastAsia" w:ascii="宋体" w:hAnsi="宋体"/>
          <w:color w:val="auto"/>
          <w:szCs w:val="21"/>
          <w:highlight w:val="none"/>
          <w:lang w:eastAsia="zh-CN"/>
        </w:rPr>
        <w:t>乙方</w:t>
      </w:r>
      <w:r>
        <w:rPr>
          <w:rFonts w:hint="eastAsia" w:ascii="宋体" w:hAnsi="宋体"/>
          <w:color w:val="auto"/>
          <w:szCs w:val="21"/>
          <w:highlight w:val="none"/>
        </w:rPr>
        <w:t>应当在收到</w:t>
      </w:r>
      <w:r>
        <w:rPr>
          <w:rFonts w:hint="eastAsia" w:ascii="宋体" w:hAnsi="宋体"/>
          <w:color w:val="auto"/>
          <w:szCs w:val="21"/>
          <w:highlight w:val="none"/>
          <w:lang w:eastAsia="zh-CN"/>
        </w:rPr>
        <w:t>甲方</w:t>
      </w:r>
      <w:r>
        <w:rPr>
          <w:rFonts w:hint="eastAsia" w:ascii="宋体" w:hAnsi="宋体"/>
          <w:color w:val="auto"/>
          <w:szCs w:val="21"/>
          <w:highlight w:val="none"/>
        </w:rPr>
        <w:t>异议通知后五（</w:t>
      </w:r>
      <w:r>
        <w:rPr>
          <w:rFonts w:ascii="宋体" w:hAnsi="宋体"/>
          <w:color w:val="auto"/>
          <w:szCs w:val="21"/>
          <w:highlight w:val="none"/>
        </w:rPr>
        <w:t>5）个工作日内根据</w:t>
      </w:r>
      <w:r>
        <w:rPr>
          <w:rFonts w:hint="eastAsia" w:ascii="宋体" w:hAnsi="宋体"/>
          <w:color w:val="auto"/>
          <w:szCs w:val="21"/>
          <w:highlight w:val="none"/>
          <w:lang w:eastAsia="zh-CN"/>
        </w:rPr>
        <w:t>甲方</w:t>
      </w:r>
      <w:r>
        <w:rPr>
          <w:rFonts w:ascii="宋体" w:hAnsi="宋体"/>
          <w:color w:val="auto"/>
          <w:szCs w:val="21"/>
          <w:highlight w:val="none"/>
        </w:rPr>
        <w:t>的指示进行补足或更换，否则视为</w:t>
      </w:r>
      <w:r>
        <w:rPr>
          <w:rFonts w:hint="eastAsia" w:ascii="宋体" w:hAnsi="宋体"/>
          <w:color w:val="auto"/>
          <w:szCs w:val="21"/>
          <w:highlight w:val="none"/>
          <w:lang w:eastAsia="zh-CN"/>
        </w:rPr>
        <w:t>乙方</w:t>
      </w:r>
      <w:r>
        <w:rPr>
          <w:rFonts w:ascii="宋体" w:hAnsi="宋体"/>
          <w:color w:val="auto"/>
          <w:szCs w:val="21"/>
          <w:highlight w:val="none"/>
        </w:rPr>
        <w:t>交付的产品不符合本合同约定</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应积极与</w:t>
      </w:r>
      <w:r>
        <w:rPr>
          <w:rFonts w:hint="eastAsia" w:ascii="宋体" w:hAnsi="宋体"/>
          <w:color w:val="auto"/>
          <w:szCs w:val="21"/>
          <w:highlight w:val="none"/>
          <w:lang w:eastAsia="zh-CN"/>
        </w:rPr>
        <w:t>甲方</w:t>
      </w:r>
      <w:r>
        <w:rPr>
          <w:rFonts w:hint="eastAsia" w:ascii="宋体" w:hAnsi="宋体"/>
          <w:color w:val="auto"/>
          <w:szCs w:val="21"/>
          <w:highlight w:val="none"/>
        </w:rPr>
        <w:t>联系，共同签署《验收单》。</w:t>
      </w:r>
    </w:p>
    <w:p w14:paraId="7488F327">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五、</w:t>
      </w:r>
      <w:r>
        <w:rPr>
          <w:rFonts w:hint="eastAsia" w:ascii="宋体" w:hAnsi="宋体" w:cs="Times New Roman"/>
          <w:b/>
          <w:color w:val="auto"/>
          <w:kern w:val="2"/>
          <w:sz w:val="21"/>
          <w:szCs w:val="21"/>
          <w:highlight w:val="none"/>
          <w:u w:val="none"/>
          <w:lang w:eastAsia="zh-CN"/>
        </w:rPr>
        <w:t>质量、权利保证和保修</w:t>
      </w:r>
    </w:p>
    <w:p w14:paraId="4F3EF3B1">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hint="eastAsia" w:ascii="宋体" w:hAnsi="宋体"/>
          <w:color w:val="auto"/>
          <w:szCs w:val="21"/>
          <w:highlight w:val="none"/>
        </w:rPr>
        <w:t>在此承诺，其向</w:t>
      </w:r>
      <w:r>
        <w:rPr>
          <w:rFonts w:hint="eastAsia" w:ascii="宋体" w:hAnsi="宋体"/>
          <w:color w:val="auto"/>
          <w:szCs w:val="21"/>
          <w:highlight w:val="none"/>
          <w:lang w:eastAsia="zh-CN"/>
        </w:rPr>
        <w:t>甲方</w:t>
      </w:r>
      <w:r>
        <w:rPr>
          <w:rFonts w:hint="eastAsia" w:ascii="宋体" w:hAnsi="宋体"/>
          <w:color w:val="auto"/>
          <w:szCs w:val="21"/>
          <w:highlight w:val="none"/>
        </w:rPr>
        <w:t>提供的合同产品是全新、完整、未经使用</w:t>
      </w:r>
      <w:r>
        <w:rPr>
          <w:rFonts w:hint="eastAsia" w:ascii="宋体" w:hAnsi="宋体"/>
          <w:color w:val="auto"/>
          <w:szCs w:val="21"/>
          <w:highlight w:val="none"/>
          <w:lang w:eastAsia="zh-CN"/>
        </w:rPr>
        <w:t>。乙方</w:t>
      </w:r>
      <w:r>
        <w:rPr>
          <w:rFonts w:ascii="宋体" w:hAnsi="宋体"/>
          <w:color w:val="auto"/>
          <w:szCs w:val="21"/>
          <w:highlight w:val="none"/>
        </w:rPr>
        <w:t>承诺于</w:t>
      </w:r>
      <w:r>
        <w:rPr>
          <w:rFonts w:hint="eastAsia" w:ascii="宋体" w:hAnsi="宋体"/>
          <w:color w:val="auto"/>
          <w:szCs w:val="21"/>
          <w:highlight w:val="none"/>
          <w:lang w:eastAsia="zh-CN"/>
        </w:rPr>
        <w:t>甲方</w:t>
      </w:r>
      <w:r>
        <w:rPr>
          <w:rFonts w:ascii="宋体" w:hAnsi="宋体"/>
          <w:color w:val="auto"/>
          <w:szCs w:val="21"/>
          <w:highlight w:val="none"/>
        </w:rPr>
        <w:t>使用合同产品期间将不受任何第三方提出侵犯知识产权之诉讼。如任何第三方向</w:t>
      </w:r>
      <w:r>
        <w:rPr>
          <w:rFonts w:hint="eastAsia" w:ascii="宋体" w:hAnsi="宋体"/>
          <w:color w:val="auto"/>
          <w:szCs w:val="21"/>
          <w:highlight w:val="none"/>
          <w:lang w:eastAsia="zh-CN"/>
        </w:rPr>
        <w:t>甲方</w:t>
      </w:r>
      <w:r>
        <w:rPr>
          <w:rFonts w:ascii="宋体" w:hAnsi="宋体"/>
          <w:color w:val="auto"/>
          <w:szCs w:val="21"/>
          <w:highlight w:val="none"/>
        </w:rPr>
        <w:t>提起侵权指控，</w:t>
      </w:r>
      <w:r>
        <w:rPr>
          <w:rFonts w:hint="eastAsia" w:ascii="宋体" w:hAnsi="宋体"/>
          <w:color w:val="auto"/>
          <w:szCs w:val="21"/>
          <w:highlight w:val="none"/>
          <w:lang w:eastAsia="zh-CN"/>
        </w:rPr>
        <w:t>乙方</w:t>
      </w:r>
      <w:r>
        <w:rPr>
          <w:rFonts w:ascii="宋体" w:hAnsi="宋体"/>
          <w:color w:val="auto"/>
          <w:szCs w:val="21"/>
          <w:highlight w:val="none"/>
        </w:rPr>
        <w:t>须与第三方交涉并承担可能发生的法律责任和费用，包括为</w:t>
      </w:r>
      <w:r>
        <w:rPr>
          <w:rFonts w:hint="eastAsia" w:ascii="宋体" w:hAnsi="宋体"/>
          <w:color w:val="auto"/>
          <w:szCs w:val="21"/>
          <w:highlight w:val="none"/>
          <w:lang w:eastAsia="zh-CN"/>
        </w:rPr>
        <w:t>甲方</w:t>
      </w:r>
      <w:r>
        <w:rPr>
          <w:rFonts w:ascii="宋体" w:hAnsi="宋体"/>
          <w:color w:val="auto"/>
          <w:szCs w:val="21"/>
          <w:highlight w:val="none"/>
        </w:rPr>
        <w:t>委托律师、应诉费用及最终须承担的侵权赔偿费用。如由于上述瑕疵，</w:t>
      </w:r>
      <w:r>
        <w:rPr>
          <w:rFonts w:hint="eastAsia" w:ascii="宋体" w:hAnsi="宋体"/>
          <w:color w:val="auto"/>
          <w:szCs w:val="21"/>
          <w:highlight w:val="none"/>
          <w:lang w:eastAsia="zh-CN"/>
        </w:rPr>
        <w:t>甲方</w:t>
      </w:r>
      <w:r>
        <w:rPr>
          <w:rFonts w:ascii="宋体" w:hAnsi="宋体"/>
          <w:color w:val="auto"/>
          <w:szCs w:val="21"/>
          <w:highlight w:val="none"/>
        </w:rPr>
        <w:t>需向任何第三方实施赔礼道歉等可能给</w:t>
      </w:r>
      <w:r>
        <w:rPr>
          <w:rFonts w:hint="eastAsia" w:ascii="宋体" w:hAnsi="宋体"/>
          <w:color w:val="auto"/>
          <w:szCs w:val="21"/>
          <w:highlight w:val="none"/>
          <w:lang w:eastAsia="zh-CN"/>
        </w:rPr>
        <w:t>甲方</w:t>
      </w:r>
      <w:r>
        <w:rPr>
          <w:rFonts w:ascii="宋体" w:hAnsi="宋体"/>
          <w:color w:val="auto"/>
          <w:szCs w:val="21"/>
          <w:highlight w:val="none"/>
        </w:rPr>
        <w:t>名誉造成损失的行为，</w:t>
      </w:r>
      <w:r>
        <w:rPr>
          <w:rFonts w:hint="eastAsia" w:ascii="宋体" w:hAnsi="宋体"/>
          <w:color w:val="auto"/>
          <w:szCs w:val="21"/>
          <w:highlight w:val="none"/>
          <w:lang w:eastAsia="zh-CN"/>
        </w:rPr>
        <w:t>乙方</w:t>
      </w:r>
      <w:r>
        <w:rPr>
          <w:rFonts w:ascii="宋体" w:hAnsi="宋体"/>
          <w:color w:val="auto"/>
          <w:szCs w:val="21"/>
          <w:highlight w:val="none"/>
        </w:rPr>
        <w:t>应与第三</w:t>
      </w:r>
      <w:r>
        <w:rPr>
          <w:rFonts w:hint="eastAsia" w:ascii="宋体" w:hAnsi="宋体"/>
          <w:color w:val="auto"/>
          <w:szCs w:val="21"/>
          <w:highlight w:val="none"/>
        </w:rPr>
        <w:t>方积极协商，由</w:t>
      </w:r>
      <w:r>
        <w:rPr>
          <w:rFonts w:hint="eastAsia" w:ascii="宋体" w:hAnsi="宋体"/>
          <w:color w:val="auto"/>
          <w:szCs w:val="21"/>
          <w:highlight w:val="none"/>
          <w:lang w:eastAsia="zh-CN"/>
        </w:rPr>
        <w:t>乙方</w:t>
      </w:r>
      <w:r>
        <w:rPr>
          <w:rFonts w:hint="eastAsia" w:ascii="宋体" w:hAnsi="宋体"/>
          <w:color w:val="auto"/>
          <w:szCs w:val="21"/>
          <w:highlight w:val="none"/>
        </w:rPr>
        <w:t>另行采用其他赔偿方式予以替代。如因此导致</w:t>
      </w:r>
      <w:r>
        <w:rPr>
          <w:rFonts w:hint="eastAsia" w:ascii="宋体" w:hAnsi="宋体"/>
          <w:color w:val="auto"/>
          <w:szCs w:val="21"/>
          <w:highlight w:val="none"/>
          <w:lang w:eastAsia="zh-CN"/>
        </w:rPr>
        <w:t>甲方</w:t>
      </w:r>
      <w:r>
        <w:rPr>
          <w:rFonts w:hint="eastAsia" w:ascii="宋体" w:hAnsi="宋体"/>
          <w:color w:val="auto"/>
          <w:szCs w:val="21"/>
          <w:highlight w:val="none"/>
        </w:rPr>
        <w:t>无法继续使用合同产品，</w:t>
      </w:r>
      <w:r>
        <w:rPr>
          <w:rFonts w:hint="eastAsia" w:ascii="宋体" w:hAnsi="宋体"/>
          <w:color w:val="auto"/>
          <w:szCs w:val="21"/>
          <w:highlight w:val="none"/>
          <w:lang w:eastAsia="zh-CN"/>
        </w:rPr>
        <w:t>乙方</w:t>
      </w:r>
      <w:r>
        <w:rPr>
          <w:rFonts w:hint="eastAsia" w:ascii="宋体" w:hAnsi="宋体"/>
          <w:color w:val="auto"/>
          <w:szCs w:val="21"/>
          <w:highlight w:val="none"/>
        </w:rPr>
        <w:t>应及时提供相应替代品或使</w:t>
      </w:r>
      <w:r>
        <w:rPr>
          <w:rFonts w:hint="eastAsia" w:ascii="宋体" w:hAnsi="宋体"/>
          <w:color w:val="auto"/>
          <w:szCs w:val="21"/>
          <w:highlight w:val="none"/>
          <w:lang w:eastAsia="zh-CN"/>
        </w:rPr>
        <w:t>甲方</w:t>
      </w:r>
      <w:r>
        <w:rPr>
          <w:rFonts w:hint="eastAsia" w:ascii="宋体" w:hAnsi="宋体"/>
          <w:color w:val="auto"/>
          <w:szCs w:val="21"/>
          <w:highlight w:val="none"/>
        </w:rPr>
        <w:t>于限期内重新获得使用许可，并按照本合同通用条款第八条之约定向</w:t>
      </w:r>
      <w:r>
        <w:rPr>
          <w:rFonts w:hint="eastAsia" w:ascii="宋体" w:hAnsi="宋体"/>
          <w:color w:val="auto"/>
          <w:szCs w:val="21"/>
          <w:highlight w:val="none"/>
          <w:lang w:eastAsia="zh-CN"/>
        </w:rPr>
        <w:t>甲方</w:t>
      </w:r>
      <w:r>
        <w:rPr>
          <w:rFonts w:hint="eastAsia" w:ascii="宋体" w:hAnsi="宋体"/>
          <w:color w:val="auto"/>
          <w:szCs w:val="21"/>
          <w:highlight w:val="none"/>
        </w:rPr>
        <w:t>承担因无法使用合同产品所造成的全部赔偿责任。</w:t>
      </w:r>
    </w:p>
    <w:p w14:paraId="06B2E7B6">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w:t>
      </w:r>
      <w:r>
        <w:rPr>
          <w:rFonts w:ascii="宋体" w:hAnsi="宋体"/>
          <w:color w:val="auto"/>
          <w:szCs w:val="21"/>
          <w:highlight w:val="none"/>
        </w:rPr>
        <w:t>同产品的质量标准</w:t>
      </w:r>
    </w:p>
    <w:p w14:paraId="7E6DBA36">
      <w:pPr>
        <w:widowControl w:val="0"/>
        <w:autoSpaceDE w:val="0"/>
        <w:autoSpaceDN w:val="0"/>
        <w:adjustRightInd w:val="0"/>
        <w:snapToGrid w:val="0"/>
        <w:spacing w:before="120" w:after="0" w:line="360" w:lineRule="exact"/>
        <w:ind w:right="-16" w:firstLine="420" w:firstLineChars="200"/>
        <w:jc w:val="both"/>
        <w:rPr>
          <w:rFonts w:ascii="宋体" w:hAnsi="宋体" w:cs="宋体"/>
          <w:color w:val="auto"/>
          <w:sz w:val="21"/>
          <w:szCs w:val="21"/>
          <w:highlight w:val="none"/>
          <w:lang w:eastAsia="zh-CN"/>
        </w:rPr>
      </w:pPr>
      <w:r>
        <w:rPr>
          <w:rFonts w:hint="eastAsia" w:ascii="宋体" w:hAnsi="宋体" w:cs="Times New Roman"/>
          <w:color w:val="auto"/>
          <w:kern w:val="2"/>
          <w:sz w:val="21"/>
          <w:szCs w:val="21"/>
          <w:highlight w:val="none"/>
          <w:lang w:eastAsia="zh-CN"/>
        </w:rPr>
        <w:t>如双方对产品质量标准未做特别约定的，合同产品质量标准适用下列较高的技术和质量标准：</w:t>
      </w:r>
      <w:r>
        <w:rPr>
          <w:rFonts w:hint="eastAsia" w:ascii="宋体" w:hAnsi="宋体" w:cs="宋体"/>
          <w:color w:val="auto"/>
          <w:sz w:val="21"/>
          <w:szCs w:val="21"/>
          <w:highlight w:val="none"/>
          <w:lang w:eastAsia="zh-CN"/>
        </w:rPr>
        <w:t>同类产品国家标准；同类产品部颁标准；同类产品行业标准；乙方</w:t>
      </w:r>
      <w:r>
        <w:rPr>
          <w:rFonts w:ascii="宋体" w:hAnsi="宋体" w:cs="宋体"/>
          <w:color w:val="auto"/>
          <w:sz w:val="21"/>
          <w:szCs w:val="21"/>
          <w:highlight w:val="none"/>
          <w:lang w:eastAsia="zh-CN"/>
        </w:rPr>
        <w:t>提供的</w:t>
      </w:r>
      <w:r>
        <w:rPr>
          <w:rFonts w:hint="eastAsia" w:ascii="宋体" w:hAnsi="宋体" w:cs="Times New Roman"/>
          <w:color w:val="auto"/>
          <w:kern w:val="2"/>
          <w:sz w:val="21"/>
          <w:szCs w:val="21"/>
          <w:highlight w:val="none"/>
          <w:lang w:eastAsia="zh-CN"/>
        </w:rPr>
        <w:t>产品标准或技术参数；</w:t>
      </w:r>
      <w:r>
        <w:rPr>
          <w:rFonts w:hint="eastAsia" w:ascii="宋体" w:hAnsi="宋体" w:cs="宋体"/>
          <w:color w:val="auto"/>
          <w:sz w:val="21"/>
          <w:szCs w:val="21"/>
          <w:highlight w:val="none"/>
          <w:lang w:eastAsia="zh-CN"/>
        </w:rPr>
        <w:t>没有上述标准或虽有上述标准，但双方同意按双方</w:t>
      </w:r>
      <w:r>
        <w:rPr>
          <w:rFonts w:ascii="宋体" w:hAnsi="宋体" w:cs="宋体"/>
          <w:color w:val="auto"/>
          <w:sz w:val="21"/>
          <w:szCs w:val="21"/>
          <w:highlight w:val="none"/>
          <w:lang w:eastAsia="zh-CN"/>
        </w:rPr>
        <w:t>另行</w:t>
      </w:r>
      <w:r>
        <w:rPr>
          <w:rFonts w:hint="eastAsia" w:ascii="宋体" w:hAnsi="宋体" w:cs="宋体"/>
          <w:color w:val="auto"/>
          <w:sz w:val="21"/>
          <w:szCs w:val="21"/>
          <w:highlight w:val="none"/>
          <w:lang w:eastAsia="zh-CN"/>
        </w:rPr>
        <w:t>确定</w:t>
      </w:r>
      <w:r>
        <w:rPr>
          <w:rFonts w:ascii="宋体" w:hAnsi="宋体" w:cs="宋体"/>
          <w:color w:val="auto"/>
          <w:sz w:val="21"/>
          <w:szCs w:val="21"/>
          <w:highlight w:val="none"/>
          <w:lang w:eastAsia="zh-CN"/>
        </w:rPr>
        <w:t>的</w:t>
      </w:r>
      <w:r>
        <w:rPr>
          <w:rFonts w:hint="eastAsia" w:ascii="宋体" w:hAnsi="宋体" w:cs="宋体"/>
          <w:color w:val="auto"/>
          <w:sz w:val="21"/>
          <w:szCs w:val="21"/>
          <w:highlight w:val="none"/>
          <w:lang w:eastAsia="zh-CN"/>
        </w:rPr>
        <w:t>文件约定的标准。</w:t>
      </w:r>
    </w:p>
    <w:p w14:paraId="505D13BD">
      <w:pPr>
        <w:pStyle w:val="21"/>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s="Arial"/>
          <w:color w:val="auto"/>
          <w:szCs w:val="21"/>
          <w:highlight w:val="none"/>
        </w:rPr>
        <w:t>承诺于正确安装、正常使用和经维修情况下，产品在本合同所列明质保期内始终是良好的、可正常使用的。</w:t>
      </w:r>
    </w:p>
    <w:p w14:paraId="1D20CFDC">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质保/</w:t>
      </w:r>
      <w:r>
        <w:rPr>
          <w:rFonts w:hint="eastAsia" w:ascii="宋体" w:hAnsi="宋体"/>
          <w:color w:val="auto"/>
          <w:szCs w:val="21"/>
          <w:highlight w:val="none"/>
        </w:rPr>
        <w:t>保修：</w:t>
      </w:r>
    </w:p>
    <w:p w14:paraId="18AE25B1">
      <w:pPr>
        <w:pStyle w:val="21"/>
        <w:numPr>
          <w:ilvl w:val="0"/>
          <w:numId w:val="9"/>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质保期自产品最终验收之日起算</w:t>
      </w:r>
      <w:r>
        <w:rPr>
          <w:rFonts w:ascii="宋体" w:hAnsi="宋体"/>
          <w:color w:val="auto"/>
          <w:szCs w:val="21"/>
          <w:highlight w:val="none"/>
        </w:rPr>
        <w:t>。</w:t>
      </w:r>
      <w:r>
        <w:rPr>
          <w:rFonts w:hint="eastAsia" w:ascii="宋体" w:hAnsi="宋体"/>
          <w:color w:val="auto"/>
          <w:szCs w:val="21"/>
          <w:highlight w:val="none"/>
        </w:rPr>
        <w:t>质保期内，如生产厂家不提供质保服务的，由</w:t>
      </w:r>
      <w:r>
        <w:rPr>
          <w:rFonts w:hint="eastAsia" w:ascii="宋体" w:hAnsi="宋体"/>
          <w:color w:val="auto"/>
          <w:szCs w:val="21"/>
          <w:highlight w:val="none"/>
          <w:lang w:eastAsia="zh-CN"/>
        </w:rPr>
        <w:t>乙方</w:t>
      </w:r>
      <w:r>
        <w:rPr>
          <w:rFonts w:hint="eastAsia" w:ascii="宋体" w:hAnsi="宋体"/>
          <w:color w:val="auto"/>
          <w:szCs w:val="21"/>
          <w:highlight w:val="none"/>
        </w:rPr>
        <w:t>提供质保服务。</w:t>
      </w:r>
    </w:p>
    <w:p w14:paraId="06117E1E">
      <w:pPr>
        <w:pStyle w:val="21"/>
        <w:numPr>
          <w:ilvl w:val="0"/>
          <w:numId w:val="9"/>
        </w:numPr>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产品质保期内</w:t>
      </w:r>
      <w:r>
        <w:rPr>
          <w:rFonts w:ascii="宋体" w:hAnsi="宋体" w:cs="Arial"/>
          <w:color w:val="auto"/>
          <w:szCs w:val="21"/>
          <w:highlight w:val="none"/>
        </w:rPr>
        <w:t>，除非</w:t>
      </w:r>
      <w:r>
        <w:rPr>
          <w:rFonts w:hint="eastAsia" w:ascii="宋体" w:hAnsi="宋体" w:cs="Arial"/>
          <w:color w:val="auto"/>
          <w:szCs w:val="21"/>
          <w:highlight w:val="none"/>
          <w:lang w:eastAsia="zh-CN"/>
        </w:rPr>
        <w:t>乙方</w:t>
      </w:r>
      <w:r>
        <w:rPr>
          <w:rFonts w:ascii="宋体" w:hAnsi="宋体" w:cs="Arial"/>
          <w:color w:val="auto"/>
          <w:szCs w:val="21"/>
          <w:highlight w:val="none"/>
        </w:rPr>
        <w:t>证明系因</w:t>
      </w:r>
      <w:r>
        <w:rPr>
          <w:rFonts w:hint="eastAsia" w:ascii="宋体" w:hAnsi="宋体" w:cs="Arial"/>
          <w:color w:val="auto"/>
          <w:szCs w:val="21"/>
          <w:highlight w:val="none"/>
          <w:lang w:eastAsia="zh-CN"/>
        </w:rPr>
        <w:t>甲方</w:t>
      </w:r>
      <w:r>
        <w:rPr>
          <w:rFonts w:ascii="宋体" w:hAnsi="宋体" w:cs="Arial"/>
          <w:color w:val="auto"/>
          <w:szCs w:val="21"/>
          <w:highlight w:val="none"/>
        </w:rPr>
        <w:t>使用不当或第三人故意破坏，</w:t>
      </w:r>
      <w:r>
        <w:rPr>
          <w:rFonts w:hint="eastAsia" w:ascii="宋体" w:hAnsi="宋体" w:cs="Arial"/>
          <w:color w:val="auto"/>
          <w:szCs w:val="21"/>
          <w:highlight w:val="none"/>
          <w:lang w:eastAsia="zh-CN"/>
        </w:rPr>
        <w:t>乙方</w:t>
      </w:r>
      <w:r>
        <w:rPr>
          <w:rFonts w:ascii="宋体" w:hAnsi="宋体" w:cs="Arial"/>
          <w:color w:val="auto"/>
          <w:szCs w:val="21"/>
          <w:highlight w:val="none"/>
        </w:rPr>
        <w:t>应免费维修或更换发生故障或损坏之产品。</w:t>
      </w:r>
    </w:p>
    <w:p w14:paraId="37A9C979">
      <w:pPr>
        <w:pStyle w:val="21"/>
        <w:numPr>
          <w:ilvl w:val="0"/>
          <w:numId w:val="9"/>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产品应附所有易损件清单、价格及更换周期等相关信息，并于质保期内负责免费保养及更换清单所列的零部件。</w:t>
      </w:r>
    </w:p>
    <w:p w14:paraId="381BACC9">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响应</w:t>
      </w:r>
      <w:r>
        <w:rPr>
          <w:rFonts w:ascii="宋体" w:hAnsi="宋体"/>
          <w:color w:val="auto"/>
          <w:szCs w:val="21"/>
          <w:highlight w:val="none"/>
        </w:rPr>
        <w:t xml:space="preserve"> </w:t>
      </w:r>
    </w:p>
    <w:p w14:paraId="1072FBA3">
      <w:pPr>
        <w:pStyle w:val="21"/>
        <w:numPr>
          <w:ilvl w:val="0"/>
          <w:numId w:val="10"/>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在接到</w:t>
      </w:r>
      <w:r>
        <w:rPr>
          <w:rFonts w:hint="eastAsia" w:ascii="宋体" w:hAnsi="宋体"/>
          <w:color w:val="auto"/>
          <w:szCs w:val="21"/>
          <w:highlight w:val="none"/>
          <w:lang w:eastAsia="zh-CN"/>
        </w:rPr>
        <w:t>甲方</w:t>
      </w:r>
      <w:r>
        <w:rPr>
          <w:rFonts w:ascii="宋体" w:hAnsi="宋体"/>
          <w:color w:val="auto"/>
          <w:szCs w:val="21"/>
          <w:highlight w:val="none"/>
        </w:rPr>
        <w:t>报修</w:t>
      </w:r>
      <w:r>
        <w:rPr>
          <w:rFonts w:hint="eastAsia" w:ascii="宋体" w:hAnsi="宋体"/>
          <w:color w:val="auto"/>
          <w:szCs w:val="21"/>
          <w:highlight w:val="none"/>
        </w:rPr>
        <w:t>通知后</w:t>
      </w:r>
      <w:r>
        <w:rPr>
          <w:rFonts w:ascii="宋体" w:hAnsi="宋体"/>
          <w:color w:val="auto"/>
          <w:szCs w:val="21"/>
          <w:highlight w:val="none"/>
        </w:rPr>
        <w:t>24</w:t>
      </w:r>
      <w:r>
        <w:rPr>
          <w:rFonts w:hint="eastAsia" w:ascii="宋体" w:hAnsi="宋体"/>
          <w:color w:val="auto"/>
          <w:szCs w:val="21"/>
          <w:highlight w:val="none"/>
        </w:rPr>
        <w:t>小时内响应；</w:t>
      </w:r>
      <w:r>
        <w:rPr>
          <w:rFonts w:ascii="宋体" w:hAnsi="宋体"/>
          <w:color w:val="auto"/>
          <w:szCs w:val="21"/>
          <w:highlight w:val="none"/>
        </w:rPr>
        <w:t xml:space="preserve"> </w:t>
      </w:r>
    </w:p>
    <w:p w14:paraId="51EF5CFE">
      <w:pPr>
        <w:pStyle w:val="21"/>
        <w:numPr>
          <w:ilvl w:val="0"/>
          <w:numId w:val="10"/>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产品未及时得到维修，导致不能正常工作而影响</w:t>
      </w:r>
      <w:r>
        <w:rPr>
          <w:rFonts w:hint="eastAsia" w:ascii="宋体" w:hAnsi="宋体"/>
          <w:color w:val="auto"/>
          <w:szCs w:val="21"/>
          <w:highlight w:val="none"/>
          <w:lang w:eastAsia="zh-CN"/>
        </w:rPr>
        <w:t>甲方</w:t>
      </w:r>
      <w:r>
        <w:rPr>
          <w:rFonts w:hint="eastAsia" w:ascii="宋体" w:hAnsi="宋体"/>
          <w:color w:val="auto"/>
          <w:szCs w:val="21"/>
          <w:highlight w:val="none"/>
        </w:rPr>
        <w:t>使用和生产的，</w:t>
      </w:r>
      <w:r>
        <w:rPr>
          <w:rFonts w:hint="eastAsia" w:ascii="宋体" w:hAnsi="宋体"/>
          <w:color w:val="auto"/>
          <w:szCs w:val="21"/>
          <w:highlight w:val="none"/>
          <w:lang w:eastAsia="zh-CN"/>
        </w:rPr>
        <w:t>甲方</w:t>
      </w:r>
      <w:r>
        <w:rPr>
          <w:rFonts w:hint="eastAsia" w:ascii="宋体" w:hAnsi="宋体"/>
          <w:color w:val="auto"/>
          <w:szCs w:val="21"/>
          <w:highlight w:val="none"/>
        </w:rPr>
        <w:t>有权委托第三方维修，所产生的维修费用由</w:t>
      </w:r>
      <w:r>
        <w:rPr>
          <w:rFonts w:hint="eastAsia" w:ascii="宋体" w:hAnsi="宋体"/>
          <w:color w:val="auto"/>
          <w:szCs w:val="21"/>
          <w:highlight w:val="none"/>
          <w:lang w:eastAsia="zh-CN"/>
        </w:rPr>
        <w:t>乙方</w:t>
      </w:r>
      <w:r>
        <w:rPr>
          <w:rFonts w:hint="eastAsia" w:ascii="宋体" w:hAnsi="宋体"/>
          <w:color w:val="auto"/>
          <w:szCs w:val="21"/>
          <w:highlight w:val="none"/>
        </w:rPr>
        <w:t>承担。</w:t>
      </w:r>
    </w:p>
    <w:p w14:paraId="1DB56949">
      <w:pPr>
        <w:pStyle w:val="21"/>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lang w:val="en-US" w:eastAsia="zh-CN"/>
        </w:rPr>
        <w:t>6、</w:t>
      </w:r>
      <w:r>
        <w:rPr>
          <w:rFonts w:hint="eastAsia" w:ascii="宋体" w:hAnsi="宋体" w:cs="Arial"/>
          <w:color w:val="auto"/>
          <w:szCs w:val="21"/>
          <w:highlight w:val="none"/>
        </w:rPr>
        <w:t>缺陷处理：</w:t>
      </w:r>
    </w:p>
    <w:p w14:paraId="1F601E81">
      <w:pPr>
        <w:pStyle w:val="21"/>
        <w:numPr>
          <w:ilvl w:val="0"/>
          <w:numId w:val="11"/>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在</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内，若发现产品存有任何缺陷，</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应在收到</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发出书面</w:t>
      </w:r>
      <w:r>
        <w:rPr>
          <w:rFonts w:ascii="宋体" w:hAnsi="宋体" w:cs="Arial"/>
          <w:color w:val="auto"/>
          <w:szCs w:val="21"/>
          <w:highlight w:val="none"/>
        </w:rPr>
        <w:t>通知</w:t>
      </w:r>
      <w:r>
        <w:rPr>
          <w:rFonts w:hint="eastAsia" w:ascii="宋体" w:hAnsi="宋体" w:cs="Arial"/>
          <w:color w:val="auto"/>
          <w:szCs w:val="21"/>
          <w:highlight w:val="none"/>
        </w:rPr>
        <w:t>所列更换需求后合理时间内进行更换。</w:t>
      </w:r>
    </w:p>
    <w:p w14:paraId="2E8D7DE3">
      <w:pPr>
        <w:pStyle w:val="21"/>
        <w:numPr>
          <w:ilvl w:val="0"/>
          <w:numId w:val="11"/>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若上述缺陷，系由于合同产品所使用基础材料或生产技术不符合本合同约定</w:t>
      </w:r>
      <w:r>
        <w:rPr>
          <w:rFonts w:ascii="宋体" w:hAnsi="宋体" w:cs="Arial"/>
          <w:color w:val="auto"/>
          <w:szCs w:val="21"/>
          <w:highlight w:val="none"/>
        </w:rPr>
        <w:t>/行业规定，或是由于</w:t>
      </w:r>
      <w:r>
        <w:rPr>
          <w:rFonts w:hint="eastAsia" w:ascii="宋体" w:hAnsi="宋体" w:cs="Arial"/>
          <w:color w:val="auto"/>
          <w:szCs w:val="21"/>
          <w:highlight w:val="none"/>
          <w:lang w:eastAsia="zh-CN"/>
        </w:rPr>
        <w:t>乙方</w:t>
      </w:r>
      <w:r>
        <w:rPr>
          <w:rFonts w:ascii="宋体" w:hAnsi="宋体" w:cs="Arial"/>
          <w:color w:val="auto"/>
          <w:szCs w:val="21"/>
          <w:highlight w:val="none"/>
        </w:rPr>
        <w:t>责任而造成，合同产品本身的拆除及更换费用及由此引起的其它拆除、搬位及修复的费用等均由</w:t>
      </w:r>
      <w:r>
        <w:rPr>
          <w:rFonts w:hint="eastAsia" w:ascii="宋体" w:hAnsi="宋体" w:cs="Arial"/>
          <w:color w:val="auto"/>
          <w:szCs w:val="21"/>
          <w:highlight w:val="none"/>
          <w:lang w:eastAsia="zh-CN"/>
        </w:rPr>
        <w:t>乙方</w:t>
      </w:r>
      <w:r>
        <w:rPr>
          <w:rFonts w:ascii="宋体" w:hAnsi="宋体" w:cs="Arial"/>
          <w:color w:val="auto"/>
          <w:szCs w:val="21"/>
          <w:highlight w:val="none"/>
        </w:rPr>
        <w:t>负担。</w:t>
      </w:r>
    </w:p>
    <w:p w14:paraId="730F3F50">
      <w:pPr>
        <w:pStyle w:val="21"/>
        <w:numPr>
          <w:ilvl w:val="0"/>
          <w:numId w:val="11"/>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满，</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未提出合同产品存有缺陷或</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已对相关缺陷予以修复并经</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确认的，</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相关质保责任已完成，但隐蔽性、合理的检查和试验都不能发觉的缺陷除外。</w:t>
      </w:r>
    </w:p>
    <w:p w14:paraId="675889C7">
      <w:pPr>
        <w:pStyle w:val="21"/>
        <w:numPr>
          <w:ilvl w:val="0"/>
          <w:numId w:val="11"/>
        </w:numPr>
        <w:spacing w:before="120" w:line="360" w:lineRule="exact"/>
        <w:ind w:hanging="578" w:firstLineChars="0"/>
        <w:rPr>
          <w:rFonts w:ascii="宋体" w:hAnsi="宋体" w:cs="Arial"/>
          <w:color w:val="auto"/>
          <w:szCs w:val="21"/>
          <w:highlight w:val="none"/>
        </w:rPr>
      </w:pP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仅就整体合同产品而言，若合同产品个别零部件规定有较长质保期的，则</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应按照相关规定提供质保服务。</w:t>
      </w:r>
    </w:p>
    <w:p w14:paraId="06A18586">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在质保</w:t>
      </w:r>
      <w:r>
        <w:rPr>
          <w:rFonts w:ascii="宋体" w:hAnsi="宋体"/>
          <w:color w:val="auto"/>
          <w:szCs w:val="21"/>
          <w:highlight w:val="none"/>
        </w:rPr>
        <w:t>/保修期内，如</w:t>
      </w:r>
      <w:r>
        <w:rPr>
          <w:rFonts w:hint="eastAsia" w:ascii="宋体" w:hAnsi="宋体"/>
          <w:color w:val="auto"/>
          <w:szCs w:val="21"/>
          <w:highlight w:val="none"/>
          <w:lang w:eastAsia="zh-CN"/>
        </w:rPr>
        <w:t>乙方</w:t>
      </w:r>
      <w:r>
        <w:rPr>
          <w:rFonts w:ascii="宋体" w:hAnsi="宋体"/>
          <w:color w:val="auto"/>
          <w:szCs w:val="21"/>
          <w:highlight w:val="none"/>
        </w:rPr>
        <w:t>对合同产品进行了技术改进，且</w:t>
      </w:r>
      <w:r>
        <w:rPr>
          <w:rFonts w:hint="eastAsia" w:ascii="宋体" w:hAnsi="宋体"/>
          <w:color w:val="auto"/>
          <w:szCs w:val="21"/>
          <w:highlight w:val="none"/>
          <w:lang w:eastAsia="zh-CN"/>
        </w:rPr>
        <w:t>甲方</w:t>
      </w:r>
      <w:r>
        <w:rPr>
          <w:rFonts w:ascii="宋体" w:hAnsi="宋体"/>
          <w:color w:val="auto"/>
          <w:szCs w:val="21"/>
          <w:highlight w:val="none"/>
        </w:rPr>
        <w:t>认为这项改进对</w:t>
      </w:r>
      <w:r>
        <w:rPr>
          <w:rFonts w:hint="eastAsia" w:ascii="宋体" w:hAnsi="宋体"/>
          <w:color w:val="auto"/>
          <w:szCs w:val="21"/>
          <w:highlight w:val="none"/>
          <w:lang w:eastAsia="zh-CN"/>
        </w:rPr>
        <w:t>甲方</w:t>
      </w:r>
      <w:r>
        <w:rPr>
          <w:rFonts w:ascii="宋体" w:hAnsi="宋体"/>
          <w:color w:val="auto"/>
          <w:szCs w:val="21"/>
          <w:highlight w:val="none"/>
        </w:rPr>
        <w:t>有重要意义并对产品运行维护具有实用价值，</w:t>
      </w:r>
      <w:r>
        <w:rPr>
          <w:rFonts w:hint="eastAsia" w:ascii="宋体" w:hAnsi="宋体"/>
          <w:color w:val="auto"/>
          <w:szCs w:val="21"/>
          <w:highlight w:val="none"/>
          <w:lang w:eastAsia="zh-CN"/>
        </w:rPr>
        <w:t>乙方</w:t>
      </w:r>
      <w:r>
        <w:rPr>
          <w:rFonts w:ascii="宋体" w:hAnsi="宋体"/>
          <w:color w:val="auto"/>
          <w:szCs w:val="21"/>
          <w:highlight w:val="none"/>
        </w:rPr>
        <w:t>应向</w:t>
      </w:r>
      <w:r>
        <w:rPr>
          <w:rFonts w:hint="eastAsia" w:ascii="宋体" w:hAnsi="宋体"/>
          <w:color w:val="auto"/>
          <w:szCs w:val="21"/>
          <w:highlight w:val="none"/>
          <w:lang w:eastAsia="zh-CN"/>
        </w:rPr>
        <w:t>甲方</w:t>
      </w:r>
      <w:r>
        <w:rPr>
          <w:rFonts w:ascii="宋体" w:hAnsi="宋体"/>
          <w:color w:val="auto"/>
          <w:szCs w:val="21"/>
          <w:highlight w:val="none"/>
        </w:rPr>
        <w:t>提供与这些技术改进有关的详细技术资料。对于增加硬件或合同产品功能所做的技术改进，具体费用由双方进一步协商确定。一旦达成协议，</w:t>
      </w:r>
      <w:r>
        <w:rPr>
          <w:rFonts w:hint="eastAsia" w:ascii="宋体" w:hAnsi="宋体"/>
          <w:color w:val="auto"/>
          <w:szCs w:val="21"/>
          <w:highlight w:val="none"/>
          <w:lang w:eastAsia="zh-CN"/>
        </w:rPr>
        <w:t>甲方</w:t>
      </w:r>
      <w:r>
        <w:rPr>
          <w:rFonts w:ascii="宋体" w:hAnsi="宋体"/>
          <w:color w:val="auto"/>
          <w:szCs w:val="21"/>
          <w:highlight w:val="none"/>
        </w:rPr>
        <w:t>将按照双方约定的交易条件与</w:t>
      </w:r>
      <w:r>
        <w:rPr>
          <w:rFonts w:hint="eastAsia" w:ascii="宋体" w:hAnsi="宋体"/>
          <w:color w:val="auto"/>
          <w:szCs w:val="21"/>
          <w:highlight w:val="none"/>
          <w:lang w:eastAsia="zh-CN"/>
        </w:rPr>
        <w:t>乙方</w:t>
      </w:r>
      <w:r>
        <w:rPr>
          <w:rFonts w:ascii="宋体" w:hAnsi="宋体"/>
          <w:color w:val="auto"/>
          <w:szCs w:val="21"/>
          <w:highlight w:val="none"/>
        </w:rPr>
        <w:t>签订补充协议。</w:t>
      </w:r>
    </w:p>
    <w:p w14:paraId="29058643">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乙方</w:t>
      </w:r>
      <w:r>
        <w:rPr>
          <w:rFonts w:hint="eastAsia" w:ascii="宋体" w:hAnsi="宋体"/>
          <w:color w:val="auto"/>
          <w:szCs w:val="21"/>
          <w:highlight w:val="none"/>
        </w:rPr>
        <w:t>应存有足够供给</w:t>
      </w:r>
      <w:r>
        <w:rPr>
          <w:rFonts w:hint="eastAsia" w:ascii="宋体" w:hAnsi="宋体"/>
          <w:color w:val="auto"/>
          <w:szCs w:val="21"/>
          <w:highlight w:val="none"/>
          <w:lang w:eastAsia="zh-CN"/>
        </w:rPr>
        <w:t>甲方</w:t>
      </w:r>
      <w:r>
        <w:rPr>
          <w:rFonts w:hint="eastAsia" w:ascii="宋体" w:hAnsi="宋体"/>
          <w:color w:val="auto"/>
          <w:szCs w:val="21"/>
          <w:highlight w:val="none"/>
        </w:rPr>
        <w:t>替换或紧急所需之零部件、备品备件及易损件存货以满</w:t>
      </w:r>
      <w:r>
        <w:rPr>
          <w:rFonts w:ascii="宋体" w:hAnsi="宋体"/>
          <w:color w:val="auto"/>
          <w:szCs w:val="21"/>
          <w:highlight w:val="none"/>
        </w:rPr>
        <w:t>足保修期内</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维修</w:t>
      </w:r>
      <w:r>
        <w:rPr>
          <w:rFonts w:ascii="宋体" w:hAnsi="宋体"/>
          <w:color w:val="auto"/>
          <w:szCs w:val="21"/>
          <w:highlight w:val="none"/>
        </w:rPr>
        <w:t>的需求</w:t>
      </w:r>
      <w:r>
        <w:rPr>
          <w:rFonts w:hint="eastAsia" w:ascii="宋体" w:hAnsi="宋体"/>
          <w:color w:val="auto"/>
          <w:szCs w:val="21"/>
          <w:highlight w:val="none"/>
        </w:rPr>
        <w:t>。</w:t>
      </w:r>
    </w:p>
    <w:p w14:paraId="3BEB7AE1">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六</w:t>
      </w:r>
      <w:r>
        <w:rPr>
          <w:rFonts w:hint="eastAsia" w:ascii="宋体" w:hAnsi="宋体" w:cs="Times New Roman"/>
          <w:b/>
          <w:color w:val="auto"/>
          <w:kern w:val="2"/>
          <w:sz w:val="21"/>
          <w:szCs w:val="21"/>
          <w:highlight w:val="none"/>
          <w:u w:val="none"/>
          <w:lang w:eastAsia="zh-CN"/>
        </w:rPr>
        <w:t>、不可抗力与情势变更</w:t>
      </w:r>
    </w:p>
    <w:p w14:paraId="5CC8F5C1">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存续期间，如发生火灾、台风、洪水、地震、塌方、海啸、瘟疫、海险、战争（不论是否宣战）、内乱、封锁、军事征用、怠工、罢工、停工、工业设施的事故或瘫痪，以及其他双方共同认为属于不可抗力的原因而被迫停止或推迟合同的执行，则合同执行相应顺延，顺延时间等于不可抗力持续的时间。</w:t>
      </w:r>
    </w:p>
    <w:p w14:paraId="0E7617D4">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在不可抗力出现之七天内，受影响的一方应尽快通过电传或传真通知另一方，并提供一份有关权威机构出具的证明以便另一方核实和确认。</w:t>
      </w:r>
    </w:p>
    <w:p w14:paraId="4CDD3C7B">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受影响的一方在不可抗力终止或被排除后应尽快通过电传或传真通知另一方不可抗力已终止或排除，同时尽全力弥补因遭受不可抗力给另一方造成的延误。</w:t>
      </w:r>
    </w:p>
    <w:p w14:paraId="7271D3CA">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如不可抗力持续作用超过三</w:t>
      </w:r>
      <w:r>
        <w:rPr>
          <w:rFonts w:ascii="宋体" w:hAnsi="宋体"/>
          <w:color w:val="auto"/>
          <w:szCs w:val="21"/>
          <w:highlight w:val="none"/>
        </w:rPr>
        <w:t>十（30</w:t>
      </w:r>
      <w:r>
        <w:rPr>
          <w:rFonts w:hint="eastAsia" w:ascii="宋体" w:hAnsi="宋体"/>
          <w:color w:val="auto"/>
          <w:szCs w:val="21"/>
          <w:highlight w:val="none"/>
        </w:rPr>
        <w:t>）天，双方将通过友好协商解决合同执行问题。</w:t>
      </w:r>
    </w:p>
    <w:p w14:paraId="648315FC">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本合同存续期间，如发生政治、经济、金融、法律或其他方面的重大变故，继续履行本合同已无实质意义，双方可协商暂缓或终止本合同，任何一方均不承担责任。</w:t>
      </w:r>
    </w:p>
    <w:p w14:paraId="6278441A">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双方签订本合</w:t>
      </w:r>
      <w:r>
        <w:rPr>
          <w:rFonts w:ascii="宋体" w:hAnsi="宋体"/>
          <w:color w:val="auto"/>
          <w:szCs w:val="21"/>
          <w:highlight w:val="none"/>
        </w:rPr>
        <w:t>同</w:t>
      </w:r>
      <w:r>
        <w:rPr>
          <w:rFonts w:hint="eastAsia" w:ascii="宋体" w:hAnsi="宋体"/>
          <w:color w:val="auto"/>
          <w:szCs w:val="21"/>
          <w:highlight w:val="none"/>
        </w:rPr>
        <w:t>是依照协议签订时的国家现行政策、法律法规制定的。如果本合同履行过程中遇法律、法规、政策等的变化致使任何一方无法履行本合同的，双方不负任何法律责任。</w:t>
      </w:r>
    </w:p>
    <w:p w14:paraId="7B88C90C">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七</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保密条款</w:t>
      </w:r>
    </w:p>
    <w:p w14:paraId="272C00DE">
      <w:pPr>
        <w:pStyle w:val="21"/>
        <w:spacing w:before="120" w:line="360" w:lineRule="exact"/>
        <w:rPr>
          <w:rFonts w:ascii="宋体" w:hAnsi="宋体"/>
          <w:color w:val="auto"/>
          <w:szCs w:val="21"/>
          <w:highlight w:val="none"/>
        </w:rPr>
      </w:pPr>
      <w:r>
        <w:rPr>
          <w:rFonts w:hint="eastAsia" w:ascii="宋体" w:hAnsi="宋体"/>
          <w:color w:val="auto"/>
          <w:szCs w:val="21"/>
          <w:highlight w:val="none"/>
        </w:rPr>
        <w:t>双方同意，在签署及实施本合同过程中所知悉的对方所有文件、资料、信息、数据、档案、技术文件、设计方案、市场经营信息等，无论该等信息表现形式为书面的、口头的、电子数据或以其他载体记载的文字、图案和数据等均被视为保密信息，双方承诺并保证其委托参与事务相关人员不将上述保密信息用于本合同之外的任何目的，遵守本条款之约定。</w:t>
      </w:r>
    </w:p>
    <w:p w14:paraId="5BDE91CA">
      <w:pPr>
        <w:spacing w:before="120" w:after="0" w:line="360" w:lineRule="exact"/>
        <w:jc w:val="both"/>
        <w:outlineLvl w:val="0"/>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八</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抗辩</w:t>
      </w:r>
    </w:p>
    <w:p w14:paraId="48F7D5C8">
      <w:pPr>
        <w:spacing w:before="120" w:after="0" w:line="360" w:lineRule="exact"/>
        <w:ind w:firstLine="420" w:firstLineChars="200"/>
        <w:jc w:val="both"/>
        <w:rPr>
          <w:rFonts w:ascii="宋体" w:hAnsi="宋体" w:cs="Times New Roman"/>
          <w:color w:val="auto"/>
          <w:kern w:val="2"/>
          <w:sz w:val="21"/>
          <w:szCs w:val="21"/>
          <w:highlight w:val="none"/>
          <w:lang w:eastAsia="zh-CN"/>
        </w:rPr>
      </w:pPr>
      <w:r>
        <w:rPr>
          <w:rFonts w:hint="eastAsia" w:ascii="宋体" w:hAnsi="宋体" w:cs="Times New Roman"/>
          <w:color w:val="auto"/>
          <w:kern w:val="2"/>
          <w:sz w:val="21"/>
          <w:szCs w:val="21"/>
          <w:highlight w:val="none"/>
          <w:lang w:eastAsia="zh-CN"/>
        </w:rPr>
        <w:t>因乙方及其相关人员违反本合同条款而引起的第三方对乙方</w:t>
      </w:r>
      <w:r>
        <w:rPr>
          <w:rFonts w:ascii="宋体" w:hAnsi="宋体" w:cs="Times New Roman"/>
          <w:color w:val="auto"/>
          <w:kern w:val="2"/>
          <w:sz w:val="21"/>
          <w:szCs w:val="21"/>
          <w:highlight w:val="none"/>
          <w:lang w:eastAsia="zh-CN"/>
        </w:rPr>
        <w:t>的任何交涉、要求、诉讼、索赔或禁止，</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应为</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抗辩，或在</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的要求下合作抗辩，保护</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的利益不受损害，</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应承担因此给</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带来的所有费用、罚款、律师费及损害赔偿等。</w:t>
      </w:r>
    </w:p>
    <w:p w14:paraId="05F1C04C">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14:paraId="3CB512CE">
      <w:pPr>
        <w:pStyle w:val="2"/>
        <w:rPr>
          <w:rFonts w:hint="eastAsia" w:ascii="宋体" w:hAnsi="宋体"/>
          <w:color w:val="auto"/>
          <w:szCs w:val="21"/>
          <w:highlight w:val="none"/>
          <w:lang w:val="en-US" w:eastAsia="zh-CN"/>
        </w:rPr>
      </w:pPr>
    </w:p>
    <w:p w14:paraId="7B3DF540">
      <w:pPr>
        <w:pStyle w:val="2"/>
        <w:rPr>
          <w:rFonts w:hint="eastAsia" w:ascii="宋体" w:hAnsi="宋体"/>
          <w:color w:val="auto"/>
          <w:szCs w:val="21"/>
          <w:highlight w:val="none"/>
          <w:lang w:val="en-US" w:eastAsia="zh-CN"/>
        </w:rPr>
      </w:pPr>
    </w:p>
    <w:p w14:paraId="3158F45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（以下无正文）</w:t>
      </w:r>
    </w:p>
    <w:p w14:paraId="74539F1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甲方名称：                   甲方</w:t>
      </w:r>
      <w:r>
        <w:rPr>
          <w:rFonts w:hint="eastAsia" w:ascii="宋体" w:hAnsi="宋体" w:cs="宋体"/>
          <w:b/>
          <w:bCs/>
          <w:color w:val="auto"/>
          <w:sz w:val="21"/>
          <w:szCs w:val="21"/>
          <w:highlight w:val="none"/>
          <w:lang w:val="en-US" w:eastAsia="zh-CN"/>
        </w:rPr>
        <w:t>盖章：</w:t>
      </w:r>
    </w:p>
    <w:p w14:paraId="1EF4D7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代理人：</w:t>
      </w:r>
    </w:p>
    <w:p w14:paraId="0EFFD59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p>
    <w:p w14:paraId="2507CC8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p>
    <w:p w14:paraId="6748B50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p>
    <w:p w14:paraId="7316A7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开户行：                      账号： </w:t>
      </w:r>
    </w:p>
    <w:p w14:paraId="55AE07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14:paraId="4D2D1D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14:paraId="69C3921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乙方名称：                    乙方</w:t>
      </w:r>
      <w:r>
        <w:rPr>
          <w:rFonts w:hint="eastAsia" w:ascii="宋体" w:hAnsi="宋体" w:cs="宋体"/>
          <w:b/>
          <w:bCs/>
          <w:color w:val="auto"/>
          <w:sz w:val="21"/>
          <w:szCs w:val="21"/>
          <w:highlight w:val="none"/>
          <w:lang w:val="en-US" w:eastAsia="zh-CN"/>
        </w:rPr>
        <w:t xml:space="preserve">盖章： </w:t>
      </w:r>
    </w:p>
    <w:p w14:paraId="132B755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代理人：</w:t>
      </w:r>
    </w:p>
    <w:p w14:paraId="64300C9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p>
    <w:p w14:paraId="2D3E83F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p>
    <w:p w14:paraId="14876D6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p>
    <w:p w14:paraId="1495C14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开户行：                       账号：</w:t>
      </w:r>
    </w:p>
    <w:p w14:paraId="42AD97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14:paraId="2C89579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14:paraId="75FB27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14:paraId="395EC49D">
      <w:pPr>
        <w:pStyle w:val="2"/>
        <w:rPr>
          <w:rFonts w:hint="eastAsia"/>
          <w:color w:val="auto"/>
          <w:sz w:val="21"/>
          <w:szCs w:val="21"/>
          <w:highlight w:val="none"/>
          <w:vertAlign w:val="baseline"/>
          <w:lang w:val="en-US" w:eastAsia="zh-CN"/>
        </w:rPr>
      </w:pPr>
    </w:p>
    <w:p w14:paraId="704290FC">
      <w:pPr>
        <w:pStyle w:val="2"/>
        <w:rPr>
          <w:rFonts w:hint="eastAsia"/>
          <w:color w:val="auto"/>
          <w:sz w:val="21"/>
          <w:szCs w:val="21"/>
          <w:highlight w:val="none"/>
          <w:vertAlign w:val="baseline"/>
          <w:lang w:val="en-US" w:eastAsia="zh-CN"/>
        </w:rPr>
      </w:pPr>
    </w:p>
    <w:p w14:paraId="67735761">
      <w:pPr>
        <w:pStyle w:val="2"/>
        <w:rPr>
          <w:rFonts w:hint="eastAsia"/>
          <w:color w:val="auto"/>
          <w:sz w:val="21"/>
          <w:szCs w:val="21"/>
          <w:highlight w:val="none"/>
          <w:vertAlign w:val="baseline"/>
          <w:lang w:val="en-US" w:eastAsia="zh-CN"/>
        </w:rPr>
      </w:pPr>
    </w:p>
    <w:p w14:paraId="3507D127">
      <w:pPr>
        <w:pStyle w:val="2"/>
        <w:rPr>
          <w:rFonts w:hint="eastAsia"/>
          <w:color w:val="auto"/>
          <w:sz w:val="21"/>
          <w:szCs w:val="21"/>
          <w:highlight w:val="none"/>
          <w:vertAlign w:val="baseline"/>
          <w:lang w:val="en-US" w:eastAsia="zh-CN"/>
        </w:rPr>
      </w:pPr>
    </w:p>
    <w:p w14:paraId="69ACA035">
      <w:pPr>
        <w:pStyle w:val="2"/>
        <w:rPr>
          <w:rFonts w:hint="eastAsia"/>
          <w:color w:val="auto"/>
          <w:sz w:val="21"/>
          <w:szCs w:val="21"/>
          <w:highlight w:val="none"/>
          <w:vertAlign w:val="baseline"/>
          <w:lang w:val="en-US" w:eastAsia="zh-CN"/>
        </w:rPr>
      </w:pPr>
    </w:p>
    <w:p w14:paraId="767CE522">
      <w:pPr>
        <w:pStyle w:val="2"/>
        <w:rPr>
          <w:rFonts w:hint="eastAsia"/>
          <w:color w:val="auto"/>
          <w:sz w:val="21"/>
          <w:szCs w:val="21"/>
          <w:highlight w:val="none"/>
          <w:vertAlign w:val="baseline"/>
          <w:lang w:val="en-US" w:eastAsia="zh-CN"/>
        </w:rPr>
      </w:pPr>
    </w:p>
    <w:p w14:paraId="5381B045">
      <w:pPr>
        <w:pStyle w:val="2"/>
        <w:rPr>
          <w:rFonts w:hint="eastAsia"/>
          <w:color w:val="auto"/>
          <w:sz w:val="21"/>
          <w:szCs w:val="21"/>
          <w:highlight w:val="none"/>
          <w:vertAlign w:val="baseline"/>
          <w:lang w:val="en-US" w:eastAsia="zh-CN"/>
        </w:rPr>
      </w:pPr>
    </w:p>
    <w:p w14:paraId="372D9DB7">
      <w:pPr>
        <w:pStyle w:val="2"/>
        <w:rPr>
          <w:rFonts w:hint="eastAsia"/>
          <w:color w:val="auto"/>
          <w:sz w:val="21"/>
          <w:szCs w:val="21"/>
          <w:highlight w:val="none"/>
          <w:vertAlign w:val="baseline"/>
          <w:lang w:val="en-US" w:eastAsia="zh-CN"/>
        </w:rPr>
      </w:pPr>
    </w:p>
    <w:p w14:paraId="0FA6E77F">
      <w:pPr>
        <w:pStyle w:val="2"/>
        <w:rPr>
          <w:rFonts w:hint="eastAsia"/>
          <w:color w:val="auto"/>
          <w:sz w:val="21"/>
          <w:szCs w:val="21"/>
          <w:highlight w:val="none"/>
          <w:vertAlign w:val="baseline"/>
          <w:lang w:val="en-US" w:eastAsia="zh-CN"/>
        </w:rPr>
      </w:pPr>
    </w:p>
    <w:p w14:paraId="4BBDF594">
      <w:pPr>
        <w:pStyle w:val="2"/>
        <w:rPr>
          <w:rFonts w:hint="eastAsia"/>
          <w:color w:val="auto"/>
          <w:sz w:val="21"/>
          <w:szCs w:val="21"/>
          <w:highlight w:val="none"/>
          <w:vertAlign w:val="baseline"/>
          <w:lang w:val="en-US" w:eastAsia="zh-CN"/>
        </w:rPr>
      </w:pPr>
    </w:p>
    <w:p w14:paraId="371B993A">
      <w:pPr>
        <w:pStyle w:val="2"/>
        <w:rPr>
          <w:rFonts w:hint="eastAsia"/>
          <w:color w:val="auto"/>
          <w:sz w:val="21"/>
          <w:szCs w:val="21"/>
          <w:highlight w:val="none"/>
          <w:vertAlign w:val="baseline"/>
          <w:lang w:val="en-US" w:eastAsia="zh-CN"/>
        </w:rPr>
      </w:pPr>
    </w:p>
    <w:p w14:paraId="2FDA349E">
      <w:pPr>
        <w:pStyle w:val="2"/>
        <w:rPr>
          <w:rFonts w:hint="eastAsia"/>
          <w:color w:val="auto"/>
          <w:sz w:val="21"/>
          <w:szCs w:val="21"/>
          <w:highlight w:val="none"/>
          <w:vertAlign w:val="baseline"/>
          <w:lang w:val="en-US" w:eastAsia="zh-CN"/>
        </w:rPr>
      </w:pPr>
    </w:p>
    <w:p w14:paraId="190C40C2">
      <w:pPr>
        <w:pStyle w:val="2"/>
        <w:rPr>
          <w:rFonts w:hint="eastAsia"/>
          <w:color w:val="auto"/>
          <w:sz w:val="21"/>
          <w:szCs w:val="21"/>
          <w:highlight w:val="none"/>
          <w:vertAlign w:val="baseline"/>
          <w:lang w:val="en-US" w:eastAsia="zh-CN"/>
        </w:rPr>
      </w:pPr>
    </w:p>
    <w:p w14:paraId="3BC5B21E">
      <w:pPr>
        <w:pStyle w:val="2"/>
        <w:rPr>
          <w:rFonts w:hint="eastAsia"/>
          <w:color w:val="auto"/>
          <w:sz w:val="21"/>
          <w:szCs w:val="21"/>
          <w:highlight w:val="none"/>
          <w:vertAlign w:val="baseline"/>
          <w:lang w:val="en-US" w:eastAsia="zh-CN"/>
        </w:rPr>
      </w:pPr>
    </w:p>
    <w:p w14:paraId="192B285D">
      <w:pPr>
        <w:pStyle w:val="2"/>
        <w:rPr>
          <w:rFonts w:hint="eastAsia"/>
          <w:color w:val="auto"/>
          <w:sz w:val="21"/>
          <w:szCs w:val="21"/>
          <w:highlight w:val="none"/>
          <w:vertAlign w:val="baseline"/>
          <w:lang w:val="en-US" w:eastAsia="zh-CN"/>
        </w:rPr>
      </w:pPr>
    </w:p>
    <w:p w14:paraId="5F08AF23">
      <w:pPr>
        <w:pStyle w:val="2"/>
        <w:rPr>
          <w:rFonts w:hint="eastAsia"/>
          <w:color w:val="auto"/>
          <w:sz w:val="21"/>
          <w:szCs w:val="21"/>
          <w:highlight w:val="none"/>
          <w:vertAlign w:val="baseline"/>
          <w:lang w:val="en-US" w:eastAsia="zh-CN"/>
        </w:rPr>
      </w:pPr>
    </w:p>
    <w:p w14:paraId="69F82A10">
      <w:pPr>
        <w:pStyle w:val="2"/>
        <w:rPr>
          <w:rFonts w:hint="eastAsia"/>
          <w:color w:val="auto"/>
          <w:sz w:val="21"/>
          <w:szCs w:val="21"/>
          <w:highlight w:val="none"/>
          <w:vertAlign w:val="baseline"/>
          <w:lang w:val="en-US" w:eastAsia="zh-CN"/>
        </w:rPr>
      </w:pPr>
    </w:p>
    <w:p w14:paraId="1DE8566E">
      <w:pPr>
        <w:pStyle w:val="2"/>
        <w:rPr>
          <w:rFonts w:hint="eastAsia"/>
          <w:color w:val="auto"/>
          <w:sz w:val="21"/>
          <w:szCs w:val="21"/>
          <w:highlight w:val="none"/>
          <w:vertAlign w:val="baseline"/>
          <w:lang w:val="en-US" w:eastAsia="zh-CN"/>
        </w:rPr>
      </w:pPr>
    </w:p>
    <w:p w14:paraId="17979728">
      <w:pPr>
        <w:pStyle w:val="2"/>
        <w:rPr>
          <w:rFonts w:hint="eastAsia"/>
          <w:color w:val="auto"/>
          <w:sz w:val="21"/>
          <w:szCs w:val="21"/>
          <w:highlight w:val="none"/>
          <w:vertAlign w:val="baseline"/>
          <w:lang w:val="en-US" w:eastAsia="zh-CN"/>
        </w:rPr>
      </w:pPr>
    </w:p>
    <w:p w14:paraId="37956791">
      <w:pPr>
        <w:pStyle w:val="2"/>
        <w:rPr>
          <w:rFonts w:hint="eastAsia"/>
          <w:color w:val="auto"/>
          <w:sz w:val="21"/>
          <w:szCs w:val="21"/>
          <w:highlight w:val="none"/>
          <w:vertAlign w:val="baseline"/>
          <w:lang w:val="en-US" w:eastAsia="zh-CN"/>
        </w:rPr>
      </w:pPr>
    </w:p>
    <w:p w14:paraId="42A5623A">
      <w:pPr>
        <w:rPr>
          <w:rFonts w:hint="eastAsia" w:ascii="黑体"/>
          <w:b/>
          <w:color w:val="auto"/>
          <w:sz w:val="21"/>
          <w:szCs w:val="28"/>
          <w:highlight w:val="none"/>
          <w:lang w:eastAsia="zh-CN"/>
        </w:rPr>
      </w:pPr>
    </w:p>
    <w:p w14:paraId="599E0747">
      <w:pPr>
        <w:snapToGrid w:val="0"/>
        <w:spacing w:before="156" w:beforeLines="50" w:line="480" w:lineRule="exact"/>
        <w:rPr>
          <w:rFonts w:ascii="黑体"/>
          <w:b/>
          <w:color w:val="auto"/>
          <w:sz w:val="21"/>
          <w:szCs w:val="28"/>
          <w:highlight w:val="none"/>
          <w:lang w:eastAsia="zh-CN"/>
        </w:rPr>
      </w:pPr>
      <w:r>
        <w:rPr>
          <w:rFonts w:hint="eastAsia" w:ascii="黑体"/>
          <w:b/>
          <w:color w:val="auto"/>
          <w:sz w:val="21"/>
          <w:szCs w:val="28"/>
          <w:highlight w:val="none"/>
          <w:lang w:eastAsia="zh-CN"/>
        </w:rPr>
        <w:t>附件：《廉洁协议》</w:t>
      </w:r>
    </w:p>
    <w:p w14:paraId="5FBE087D">
      <w:pPr>
        <w:snapToGrid w:val="0"/>
        <w:spacing w:before="156" w:beforeLines="50" w:line="480" w:lineRule="exact"/>
        <w:jc w:val="center"/>
        <w:rPr>
          <w:rFonts w:ascii="黑体"/>
          <w:b/>
          <w:color w:val="auto"/>
          <w:sz w:val="28"/>
          <w:szCs w:val="28"/>
          <w:highlight w:val="none"/>
          <w:lang w:eastAsia="zh-CN"/>
        </w:rPr>
      </w:pPr>
      <w:r>
        <w:rPr>
          <w:rFonts w:hint="eastAsia" w:ascii="黑体"/>
          <w:b/>
          <w:color w:val="auto"/>
          <w:sz w:val="28"/>
          <w:szCs w:val="28"/>
          <w:highlight w:val="none"/>
          <w:lang w:eastAsia="zh-CN"/>
        </w:rPr>
        <w:t>廉  洁  协  议</w:t>
      </w:r>
    </w:p>
    <w:p w14:paraId="1390E2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olor w:val="auto"/>
          <w:sz w:val="21"/>
          <w:szCs w:val="21"/>
          <w:highlight w:val="none"/>
          <w:vertAlign w:val="baseline"/>
          <w:lang w:val="en-US" w:eastAsia="zh-CN"/>
        </w:rPr>
      </w:pPr>
      <w:r>
        <w:rPr>
          <w:rFonts w:hint="eastAsia"/>
          <w:color w:val="auto"/>
          <w:szCs w:val="21"/>
          <w:highlight w:val="none"/>
          <w:lang w:eastAsia="zh-CN"/>
        </w:rPr>
        <w:t>甲方（采购方）</w:t>
      </w:r>
      <w:r>
        <w:rPr>
          <w:color w:val="auto"/>
          <w:szCs w:val="21"/>
          <w:highlight w:val="none"/>
          <w:lang w:eastAsia="zh-CN"/>
        </w:rPr>
        <w:t>：</w:t>
      </w:r>
      <w:r>
        <w:rPr>
          <w:rFonts w:hint="eastAsia"/>
          <w:color w:val="auto"/>
          <w:szCs w:val="21"/>
          <w:highlight w:val="none"/>
          <w:lang w:val="en-US" w:eastAsia="zh-CN"/>
        </w:rPr>
        <w:t>中国机械总院集团海西（福建）分院有限公司</w:t>
      </w:r>
    </w:p>
    <w:p w14:paraId="3AAA71BF">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auto"/>
          <w:szCs w:val="21"/>
          <w:highlight w:val="none"/>
          <w:lang w:eastAsia="zh-CN"/>
        </w:rPr>
      </w:pPr>
      <w:r>
        <w:rPr>
          <w:rFonts w:hint="eastAsia"/>
          <w:color w:val="auto"/>
          <w:szCs w:val="21"/>
          <w:highlight w:val="none"/>
          <w:lang w:eastAsia="zh-CN"/>
        </w:rPr>
        <w:t>乙方（供应商）</w:t>
      </w:r>
      <w:r>
        <w:rPr>
          <w:color w:val="auto"/>
          <w:szCs w:val="21"/>
          <w:highlight w:val="none"/>
          <w:lang w:eastAsia="zh-CN"/>
        </w:rPr>
        <w:t>：</w:t>
      </w:r>
    </w:p>
    <w:p w14:paraId="3A742BDE">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为促进甲乙双方廉洁高效合作，防止各种不正当行为的发生，促使双方工作人员廉洁从业，按照《中华人民共和国民法典》、《中华人民共和国反不正当竞争法》、《关于禁止商业贿赂行为的暂行规定》和国家其他相关法律法规关于廉政建设的相关规定，经甲乙双方协商一致，自愿签订如下廉洁协议：</w:t>
      </w:r>
    </w:p>
    <w:p w14:paraId="266050DA">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一、双方应当自觉遵守国家和地方关于公平交易、廉洁自律、反腐败的各项规定。</w:t>
      </w:r>
    </w:p>
    <w:p w14:paraId="0813ECF8">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二、甲方及其工作人员不得以任何形式向乙方索要和收受回扣等好处。</w:t>
      </w:r>
    </w:p>
    <w:p w14:paraId="4268E072">
      <w:pPr>
        <w:tabs>
          <w:tab w:val="left" w:pos="0"/>
          <w:tab w:val="left" w:pos="142"/>
        </w:tabs>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三、甲方工作人员应当保持与乙方的正常业务交往，不得接受乙方的礼金、有价证券和贵重物品，不得在乙方处报销任何应由个人支付的费用。</w:t>
      </w:r>
    </w:p>
    <w:p w14:paraId="06367CF3">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四、甲方工作人员不得参加可能对公正执行职务有影响的宴请和娱乐活动。</w:t>
      </w:r>
    </w:p>
    <w:p w14:paraId="386C6CAD">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五、甲方工作人员不得要求或者接受乙方为其住房装修、婚丧嫁娶、家属和子女的工作安排以及出国等提乙方便。</w:t>
      </w:r>
    </w:p>
    <w:p w14:paraId="7F89E1F4">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六、甲方工作人员不得向乙方介绍家属或者亲友从事与甲方采购有关的材料、设备供应、提供相关服务等经济活动。</w:t>
      </w:r>
    </w:p>
    <w:p w14:paraId="61A48FF2">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七、乙方应当通过正常途径开展相对业务工作，不得为获取某些不正当利益而向甲方工作人员赠送礼金、有价证券和贵重物品等。</w:t>
      </w:r>
    </w:p>
    <w:p w14:paraId="0A43E82A">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八、乙方不得为谋取私利擅自与甲方工作人员就双方合同洽谈、签订及履行过程中的相关问题的处理进行私下商谈或者达成默契。</w:t>
      </w:r>
    </w:p>
    <w:p w14:paraId="79ED8DF3">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九、乙方不得以洽谈业务、签订合同为借口，邀请甲方工作人员外出旅游或/和进入营业性高档娱乐场所。</w:t>
      </w:r>
    </w:p>
    <w:p w14:paraId="74E09F04">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十、乙方不得为甲方单位、个人购置或提供通讯工具、交通工具、家电、高档办公用品等物品。</w:t>
      </w:r>
    </w:p>
    <w:p w14:paraId="3BA7D103">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十一、乙方不得与甲方单位或个人及其亲友间进行任何形式之借贷、租赁、投资及任何非直接工作往来的活动。</w:t>
      </w:r>
    </w:p>
    <w:p w14:paraId="40DFFB4B">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二、乙方如发现甲方工作人员在日常业务过程中有任何索贿行为，乙方必须立即拒绝，并向甲方单位举报。若乙方对甲方人员的索贿行为不拒绝、不举报，并满足其要求的，则该行为视同乙方的贿赂行为，乙方应当承担相应的责任。甲方不得以任何借口对乙方的举报行为进行报复。甲方对举报属实和严格遵守廉洁协议的乙方，在同等条件下优先列入甲方合格供应商名录。</w:t>
      </w:r>
    </w:p>
    <w:p w14:paraId="5CC2A1CB">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三、甲方发现乙方有违反本协议或者采用不正当的手段行贿甲方工作人员行为的，甲方根据具体情节和造成的后果，将有权：①将乙方列为不合格供应商并不再与乙方开展任何形式的合作；②立即终止与乙方签订的尚未履行完毕的合同；③要求乙方按双方签订的合同总金额的</w:t>
      </w:r>
      <w:r>
        <w:rPr>
          <w:rFonts w:ascii="宋体" w:hAnsi="宋体"/>
          <w:color w:val="auto"/>
          <w:szCs w:val="21"/>
          <w:highlight w:val="none"/>
          <w:lang w:eastAsia="zh-CN"/>
        </w:rPr>
        <w:t>l</w:t>
      </w:r>
      <w:r>
        <w:rPr>
          <w:rFonts w:hint="eastAsia" w:ascii="宋体" w:hAnsi="宋体"/>
          <w:color w:val="auto"/>
          <w:szCs w:val="21"/>
          <w:highlight w:val="none"/>
          <w:lang w:eastAsia="zh-CN"/>
        </w:rPr>
        <w:t>-</w:t>
      </w:r>
      <w:r>
        <w:rPr>
          <w:rFonts w:ascii="宋体" w:hAnsi="宋体"/>
          <w:color w:val="auto"/>
          <w:szCs w:val="21"/>
          <w:highlight w:val="none"/>
          <w:lang w:eastAsia="zh-CN"/>
        </w:rPr>
        <w:t>5</w:t>
      </w:r>
      <w:r>
        <w:rPr>
          <w:rFonts w:hint="eastAsia" w:ascii="宋体" w:hAnsi="宋体"/>
          <w:color w:val="auto"/>
          <w:szCs w:val="21"/>
          <w:highlight w:val="none"/>
          <w:lang w:eastAsia="zh-CN"/>
        </w:rPr>
        <w:t>％的向甲方支付违约金；④如由此给甲方造成其他损失的均由乙方全部承担；⑤乙方用不正当手段获取的非法所得由甲方予以追缴；⑥对涉及的相关人员，由甲方移送有关主管部门按有关规定进行查处。</w:t>
      </w:r>
    </w:p>
    <w:p w14:paraId="28760FEA">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十四、本《廉洁协议》作为甲乙双方签订的采购合同的有效附件，并与采购合同具有同等法律效力。</w:t>
      </w:r>
    </w:p>
    <w:p w14:paraId="177EA236">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十五、双方采购业务关系变更或解除，不影响甲方按本协议约定向乙方追究责任及要求赔偿损失的权利。</w:t>
      </w:r>
    </w:p>
    <w:p w14:paraId="2D48E4AE">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十六、本协议一式贰份，甲、乙双方各执壹份。</w:t>
      </w:r>
    </w:p>
    <w:p w14:paraId="40088BD9">
      <w:pPr>
        <w:pStyle w:val="2"/>
        <w:spacing w:line="360" w:lineRule="auto"/>
        <w:ind w:left="0" w:leftChars="0" w:firstLine="0" w:firstLineChars="0"/>
        <w:rPr>
          <w:rFonts w:ascii="宋体" w:hAnsi="宋体" w:eastAsia="宋体" w:cs="宋体"/>
          <w:sz w:val="24"/>
          <w:szCs w:val="24"/>
        </w:rPr>
      </w:pPr>
    </w:p>
    <w:sectPr>
      <w:headerReference r:id="rId8" w:type="default"/>
      <w:footerReference r:id="rId9" w:type="default"/>
      <w:pgSz w:w="11905" w:h="16838"/>
      <w:pgMar w:top="1389" w:right="1202" w:bottom="1389" w:left="1434" w:header="851" w:footer="10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C98A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05E4D">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3E8C3B">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233E8C3B">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28A43">
    <w:pPr>
      <w:pStyle w:val="11"/>
    </w:pPr>
    <w:r>
      <mc:AlternateContent>
        <mc:Choice Requires="wps">
          <w:drawing>
            <wp:anchor distT="0" distB="0" distL="114300" distR="114300" simplePos="0" relativeHeight="251659264" behindDoc="0" locked="0" layoutInCell="1" allowOverlap="1">
              <wp:simplePos x="0" y="0"/>
              <wp:positionH relativeFrom="margin">
                <wp:posOffset>2907030</wp:posOffset>
              </wp:positionH>
              <wp:positionV relativeFrom="paragraph">
                <wp:posOffset>635</wp:posOffset>
              </wp:positionV>
              <wp:extent cx="289560" cy="171450"/>
              <wp:effectExtent l="0" t="0" r="15240" b="0"/>
              <wp:wrapNone/>
              <wp:docPr id="12" name="文本框 12"/>
              <wp:cNvGraphicFramePr/>
              <a:graphic xmlns:a="http://schemas.openxmlformats.org/drawingml/2006/main">
                <a:graphicData uri="http://schemas.microsoft.com/office/word/2010/wordprocessingShape">
                  <wps:wsp>
                    <wps:cNvSpPr txBox="1"/>
                    <wps:spPr>
                      <a:xfrm>
                        <a:off x="0" y="0"/>
                        <a:ext cx="28956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9B47B">
                          <w:pPr>
                            <w:pStyle w:val="1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8.9pt;margin-top:0.05pt;height:13.5pt;width:22.8pt;mso-position-horizontal-relative:margin;z-index:251659264;mso-width-relative:page;mso-height-relative:page;" filled="f" stroked="f" coordsize="21600,21600" o:gfxdata="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0BGI1QAAAAcBAAAPAAAAAAAAAAEAIAAAACIAAABkcnMvZG93bnJldi54bWxQSwEC&#10;FAAUAAAACACHTuJArhTFAjACAABXBAAADgAAAAAAAAABACAAAAAkAQAAZHJzL2Uyb0RvYy54bWxQ&#10;SwUGAAAAAAYABgBZAQAAxgUAAAAA&#10;">
              <v:fill on="f" focussize="0,0"/>
              <v:stroke on="f" weight="0.5pt"/>
              <v:imagedata o:title=""/>
              <o:lock v:ext="edit" aspectratio="f"/>
              <v:textbox inset="0mm,0mm,0mm,0mm">
                <w:txbxContent>
                  <w:p w14:paraId="3049B47B">
                    <w:pPr>
                      <w:pStyle w:val="1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CD255">
    <w:pPr>
      <w:spacing w:before="224" w:line="185" w:lineRule="auto"/>
      <w:ind w:firstLine="1802"/>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26D1B">
    <w:pPr>
      <w:spacing w:before="224" w:line="185" w:lineRule="auto"/>
      <w:rPr>
        <w:rFonts w:ascii="宋体" w:hAnsi="宋体" w:eastAsia="宋体" w:cs="宋体"/>
        <w:sz w:val="28"/>
        <w:szCs w:val="28"/>
      </w:rPr>
    </w:pPr>
    <w:r>
      <w:drawing>
        <wp:inline distT="0" distB="0" distL="114300" distR="114300">
          <wp:extent cx="3980815" cy="428625"/>
          <wp:effectExtent l="0" t="0" r="0" b="0"/>
          <wp:docPr id="1" name="图片 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机械总院集团海西（福建）分院有限公司"/>
                  <pic:cNvPicPr>
                    <a:picLocks noChangeAspect="1"/>
                  </pic:cNvPicPr>
                </pic:nvPicPr>
                <pic:blipFill>
                  <a:blip r:embed="rId1"/>
                  <a:srcRect l="6195" t="36732" b="24043"/>
                  <a:stretch>
                    <a:fillRect/>
                  </a:stretch>
                </pic:blipFill>
                <pic:spPr>
                  <a:xfrm>
                    <a:off x="0" y="0"/>
                    <a:ext cx="3980815" cy="428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87DC8">
    <w:pPr>
      <w:spacing w:before="224" w:line="185" w:lineRule="auto"/>
      <w:rPr>
        <w:rFonts w:hint="eastAsia" w:ascii="宋体" w:hAnsi="宋体" w:eastAsia="宋体" w:cs="宋体"/>
        <w:sz w:val="28"/>
        <w:szCs w:val="28"/>
        <w:lang w:eastAsia="zh-CN"/>
      </w:rPr>
    </w:pPr>
    <w:r>
      <w:drawing>
        <wp:inline distT="0" distB="0" distL="114300" distR="114300">
          <wp:extent cx="3848100" cy="6477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07539">
    <w:pPr>
      <w:spacing w:before="224" w:line="185" w:lineRule="auto"/>
      <w:rPr>
        <w:rFonts w:ascii="宋体" w:hAnsi="宋体" w:eastAsia="宋体" w:cs="宋体"/>
        <w:sz w:val="28"/>
        <w:szCs w:val="28"/>
      </w:rPr>
    </w:pPr>
    <w:bookmarkStart w:id="6" w:name="_bookmark18"/>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BEB22"/>
    <w:multiLevelType w:val="singleLevel"/>
    <w:tmpl w:val="8AABEB22"/>
    <w:lvl w:ilvl="0" w:tentative="0">
      <w:start w:val="3"/>
      <w:numFmt w:val="chineseCounting"/>
      <w:suff w:val="nothing"/>
      <w:lvlText w:val="%1、"/>
      <w:lvlJc w:val="left"/>
      <w:rPr>
        <w:rFonts w:hint="eastAsia"/>
      </w:rPr>
    </w:lvl>
  </w:abstractNum>
  <w:abstractNum w:abstractNumId="1">
    <w:nsid w:val="A5F09BD6"/>
    <w:multiLevelType w:val="singleLevel"/>
    <w:tmpl w:val="A5F09BD6"/>
    <w:lvl w:ilvl="0" w:tentative="0">
      <w:start w:val="1"/>
      <w:numFmt w:val="decimal"/>
      <w:suff w:val="nothing"/>
      <w:lvlText w:val="%1、"/>
      <w:lvlJc w:val="left"/>
    </w:lvl>
  </w:abstractNum>
  <w:abstractNum w:abstractNumId="2">
    <w:nsid w:val="E757BAAB"/>
    <w:multiLevelType w:val="singleLevel"/>
    <w:tmpl w:val="E757BAAB"/>
    <w:lvl w:ilvl="0" w:tentative="0">
      <w:start w:val="3"/>
      <w:numFmt w:val="decimal"/>
      <w:suff w:val="nothing"/>
      <w:lvlText w:val="%1、"/>
      <w:lvlJc w:val="left"/>
    </w:lvl>
  </w:abstractNum>
  <w:abstractNum w:abstractNumId="3">
    <w:nsid w:val="10356F03"/>
    <w:multiLevelType w:val="multilevel"/>
    <w:tmpl w:val="10356F03"/>
    <w:lvl w:ilvl="0" w:tentative="0">
      <w:start w:val="1"/>
      <w:numFmt w:val="decimal"/>
      <w:lvlText w:val="（%1）"/>
      <w:lvlJc w:val="left"/>
      <w:pPr>
        <w:ind w:left="420" w:hanging="420"/>
      </w:pPr>
      <w:rPr>
        <w:rFonts w:hint="default" w:ascii="Times New Roman" w:hAnsi="Times New Roman" w:eastAsia="宋体"/>
        <w:b w:val="0"/>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A8B50E"/>
    <w:multiLevelType w:val="singleLevel"/>
    <w:tmpl w:val="12A8B50E"/>
    <w:lvl w:ilvl="0" w:tentative="0">
      <w:start w:val="2"/>
      <w:numFmt w:val="chineseCounting"/>
      <w:suff w:val="nothing"/>
      <w:lvlText w:val="%1、"/>
      <w:lvlJc w:val="left"/>
      <w:rPr>
        <w:rFonts w:hint="eastAsia"/>
      </w:rPr>
    </w:lvl>
  </w:abstractNum>
  <w:abstractNum w:abstractNumId="5">
    <w:nsid w:val="1A1831C9"/>
    <w:multiLevelType w:val="multilevel"/>
    <w:tmpl w:val="1A1831C9"/>
    <w:lvl w:ilvl="0" w:tentative="0">
      <w:start w:val="1"/>
      <w:numFmt w:val="decimal"/>
      <w:lvlText w:val="（%1）"/>
      <w:lvlJc w:val="left"/>
      <w:pPr>
        <w:ind w:left="720" w:hanging="360"/>
      </w:pPr>
      <w:rPr>
        <w:sz w:val="23"/>
        <w:szCs w:val="23"/>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BEE2314"/>
    <w:multiLevelType w:val="multilevel"/>
    <w:tmpl w:val="1BEE2314"/>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2E90870"/>
    <w:multiLevelType w:val="multilevel"/>
    <w:tmpl w:val="22E90870"/>
    <w:lvl w:ilvl="0" w:tentative="0">
      <w:start w:val="1"/>
      <w:numFmt w:val="decimal"/>
      <w:lvlText w:val="（%1）"/>
      <w:lvlJc w:val="left"/>
      <w:pPr>
        <w:ind w:left="900" w:hanging="360"/>
      </w:pPr>
      <w:rPr>
        <w:sz w:val="23"/>
        <w:szCs w:val="23"/>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8">
    <w:nsid w:val="460C6A6F"/>
    <w:multiLevelType w:val="singleLevel"/>
    <w:tmpl w:val="460C6A6F"/>
    <w:lvl w:ilvl="0" w:tentative="0">
      <w:start w:val="1"/>
      <w:numFmt w:val="japaneseCounting"/>
      <w:lvlText w:val="%1."/>
      <w:lvlJc w:val="left"/>
      <w:pPr>
        <w:tabs>
          <w:tab w:val="left" w:pos="420"/>
        </w:tabs>
        <w:ind w:left="420" w:hanging="420"/>
      </w:pPr>
    </w:lvl>
  </w:abstractNum>
  <w:abstractNum w:abstractNumId="9">
    <w:nsid w:val="65361B2D"/>
    <w:multiLevelType w:val="multilevel"/>
    <w:tmpl w:val="65361B2D"/>
    <w:lvl w:ilvl="0" w:tentative="0">
      <w:start w:val="1"/>
      <w:numFmt w:val="decimal"/>
      <w:lvlText w:val="（%1）"/>
      <w:lvlJc w:val="left"/>
      <w:pPr>
        <w:ind w:left="995" w:hanging="360"/>
      </w:pPr>
      <w:rPr>
        <w:sz w:val="23"/>
        <w:szCs w:val="23"/>
      </w:rPr>
    </w:lvl>
    <w:lvl w:ilvl="1" w:tentative="0">
      <w:start w:val="1"/>
      <w:numFmt w:val="lowerLetter"/>
      <w:lvlText w:val="%2."/>
      <w:lvlJc w:val="left"/>
      <w:pPr>
        <w:ind w:left="1715" w:hanging="360"/>
      </w:pPr>
    </w:lvl>
    <w:lvl w:ilvl="2" w:tentative="0">
      <w:start w:val="1"/>
      <w:numFmt w:val="lowerRoman"/>
      <w:lvlText w:val="%3."/>
      <w:lvlJc w:val="right"/>
      <w:pPr>
        <w:ind w:left="2435" w:hanging="180"/>
      </w:pPr>
    </w:lvl>
    <w:lvl w:ilvl="3" w:tentative="0">
      <w:start w:val="1"/>
      <w:numFmt w:val="decimal"/>
      <w:lvlText w:val="%4."/>
      <w:lvlJc w:val="left"/>
      <w:pPr>
        <w:ind w:left="3155" w:hanging="360"/>
      </w:pPr>
    </w:lvl>
    <w:lvl w:ilvl="4" w:tentative="0">
      <w:start w:val="1"/>
      <w:numFmt w:val="lowerLetter"/>
      <w:lvlText w:val="%5."/>
      <w:lvlJc w:val="left"/>
      <w:pPr>
        <w:ind w:left="3875" w:hanging="360"/>
      </w:pPr>
    </w:lvl>
    <w:lvl w:ilvl="5" w:tentative="0">
      <w:start w:val="1"/>
      <w:numFmt w:val="lowerRoman"/>
      <w:lvlText w:val="%6."/>
      <w:lvlJc w:val="right"/>
      <w:pPr>
        <w:ind w:left="4595" w:hanging="180"/>
      </w:pPr>
    </w:lvl>
    <w:lvl w:ilvl="6" w:tentative="0">
      <w:start w:val="1"/>
      <w:numFmt w:val="decimal"/>
      <w:lvlText w:val="%7."/>
      <w:lvlJc w:val="left"/>
      <w:pPr>
        <w:ind w:left="5315" w:hanging="360"/>
      </w:pPr>
    </w:lvl>
    <w:lvl w:ilvl="7" w:tentative="0">
      <w:start w:val="1"/>
      <w:numFmt w:val="lowerLetter"/>
      <w:lvlText w:val="%8."/>
      <w:lvlJc w:val="left"/>
      <w:pPr>
        <w:ind w:left="6035" w:hanging="360"/>
      </w:pPr>
    </w:lvl>
    <w:lvl w:ilvl="8" w:tentative="0">
      <w:start w:val="1"/>
      <w:numFmt w:val="lowerRoman"/>
      <w:lvlText w:val="%9."/>
      <w:lvlJc w:val="right"/>
      <w:pPr>
        <w:ind w:left="6755" w:hanging="180"/>
      </w:pPr>
    </w:lvl>
  </w:abstractNum>
  <w:abstractNum w:abstractNumId="10">
    <w:nsid w:val="79310C4E"/>
    <w:multiLevelType w:val="multilevel"/>
    <w:tmpl w:val="79310C4E"/>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2"/>
  </w:num>
  <w:num w:numId="3">
    <w:abstractNumId w:val="8"/>
    <w:lvlOverride w:ilvl="0">
      <w:startOverride w:val="1"/>
    </w:lvlOverride>
  </w:num>
  <w:num w:numId="4">
    <w:abstractNumId w:val="4"/>
  </w:num>
  <w:num w:numId="5">
    <w:abstractNumId w:val="0"/>
  </w:num>
  <w:num w:numId="6">
    <w:abstractNumId w:val="1"/>
  </w:num>
  <w:num w:numId="7">
    <w:abstractNumId w:val="10"/>
  </w:num>
  <w:num w:numId="8">
    <w:abstractNumId w:val="6"/>
  </w:num>
  <w:num w:numId="9">
    <w:abstractNumId w:val="9"/>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ZTQ1M2Y3ZTE4MmQxNzlmZWI0NDRhNDkzMTIzOGEifQ=="/>
  </w:docVars>
  <w:rsids>
    <w:rsidRoot w:val="78EE6CAC"/>
    <w:rsid w:val="00044EF2"/>
    <w:rsid w:val="001A50E8"/>
    <w:rsid w:val="001C3F19"/>
    <w:rsid w:val="00212D19"/>
    <w:rsid w:val="00254D24"/>
    <w:rsid w:val="007F65BF"/>
    <w:rsid w:val="00834647"/>
    <w:rsid w:val="009922AC"/>
    <w:rsid w:val="00AB69B7"/>
    <w:rsid w:val="00CD3536"/>
    <w:rsid w:val="00DF42CC"/>
    <w:rsid w:val="00E306D6"/>
    <w:rsid w:val="00EE42BF"/>
    <w:rsid w:val="00F639E6"/>
    <w:rsid w:val="00F84B9D"/>
    <w:rsid w:val="01DE5DA6"/>
    <w:rsid w:val="0247556A"/>
    <w:rsid w:val="03254F41"/>
    <w:rsid w:val="032B09E8"/>
    <w:rsid w:val="04243986"/>
    <w:rsid w:val="045F783F"/>
    <w:rsid w:val="04892C2C"/>
    <w:rsid w:val="065625D5"/>
    <w:rsid w:val="066C0621"/>
    <w:rsid w:val="06D66EBD"/>
    <w:rsid w:val="0793771E"/>
    <w:rsid w:val="08E31B8A"/>
    <w:rsid w:val="0B923CFA"/>
    <w:rsid w:val="0BCD088E"/>
    <w:rsid w:val="0D702EC6"/>
    <w:rsid w:val="0DB61B71"/>
    <w:rsid w:val="0F707EAE"/>
    <w:rsid w:val="0F821347"/>
    <w:rsid w:val="0F935D46"/>
    <w:rsid w:val="10400AA6"/>
    <w:rsid w:val="119D5615"/>
    <w:rsid w:val="11C46BCB"/>
    <w:rsid w:val="11F63442"/>
    <w:rsid w:val="1441006B"/>
    <w:rsid w:val="14A910E0"/>
    <w:rsid w:val="15494E33"/>
    <w:rsid w:val="162714E3"/>
    <w:rsid w:val="165D18B7"/>
    <w:rsid w:val="169561AB"/>
    <w:rsid w:val="17F463E4"/>
    <w:rsid w:val="17F906B8"/>
    <w:rsid w:val="185365BF"/>
    <w:rsid w:val="189240B8"/>
    <w:rsid w:val="19416EE3"/>
    <w:rsid w:val="199155F1"/>
    <w:rsid w:val="19F83B84"/>
    <w:rsid w:val="1A2B2E16"/>
    <w:rsid w:val="1A3441CE"/>
    <w:rsid w:val="1C6A2129"/>
    <w:rsid w:val="1CA420EE"/>
    <w:rsid w:val="1D294680"/>
    <w:rsid w:val="1D406077"/>
    <w:rsid w:val="1DB76376"/>
    <w:rsid w:val="1F9C01BD"/>
    <w:rsid w:val="209854B7"/>
    <w:rsid w:val="21091236"/>
    <w:rsid w:val="22C96EF1"/>
    <w:rsid w:val="22EB3E7F"/>
    <w:rsid w:val="22F1792F"/>
    <w:rsid w:val="24151D08"/>
    <w:rsid w:val="2432352D"/>
    <w:rsid w:val="2483647E"/>
    <w:rsid w:val="262056BE"/>
    <w:rsid w:val="26CB4A58"/>
    <w:rsid w:val="27230389"/>
    <w:rsid w:val="28677A51"/>
    <w:rsid w:val="28872C4F"/>
    <w:rsid w:val="29211B9F"/>
    <w:rsid w:val="295E6B72"/>
    <w:rsid w:val="29864257"/>
    <w:rsid w:val="29DE5491"/>
    <w:rsid w:val="2A7E20F7"/>
    <w:rsid w:val="2CD14227"/>
    <w:rsid w:val="2D42232F"/>
    <w:rsid w:val="2D4C717F"/>
    <w:rsid w:val="2D5D45BA"/>
    <w:rsid w:val="2DFC193A"/>
    <w:rsid w:val="2F032695"/>
    <w:rsid w:val="30000983"/>
    <w:rsid w:val="303625F7"/>
    <w:rsid w:val="305A4537"/>
    <w:rsid w:val="30D2231F"/>
    <w:rsid w:val="317038E6"/>
    <w:rsid w:val="32714F51"/>
    <w:rsid w:val="32F07319"/>
    <w:rsid w:val="33227389"/>
    <w:rsid w:val="33FF1058"/>
    <w:rsid w:val="36E0150E"/>
    <w:rsid w:val="37851EB2"/>
    <w:rsid w:val="37A833E7"/>
    <w:rsid w:val="37CA1AB9"/>
    <w:rsid w:val="38402D6A"/>
    <w:rsid w:val="38C22E16"/>
    <w:rsid w:val="391F2F2E"/>
    <w:rsid w:val="3B0F23C2"/>
    <w:rsid w:val="3C005BD0"/>
    <w:rsid w:val="3C236D8A"/>
    <w:rsid w:val="3CA8662A"/>
    <w:rsid w:val="3D430101"/>
    <w:rsid w:val="3D9B1CEB"/>
    <w:rsid w:val="3DE83A67"/>
    <w:rsid w:val="4004001B"/>
    <w:rsid w:val="404A1D0D"/>
    <w:rsid w:val="40C529A0"/>
    <w:rsid w:val="42CD2946"/>
    <w:rsid w:val="45C049E4"/>
    <w:rsid w:val="462C44F0"/>
    <w:rsid w:val="46A75AA7"/>
    <w:rsid w:val="46B97F68"/>
    <w:rsid w:val="46D64C42"/>
    <w:rsid w:val="47100713"/>
    <w:rsid w:val="474C1085"/>
    <w:rsid w:val="49203109"/>
    <w:rsid w:val="4A3E237C"/>
    <w:rsid w:val="4A946FEA"/>
    <w:rsid w:val="4AB34057"/>
    <w:rsid w:val="4AE14A72"/>
    <w:rsid w:val="4B17213F"/>
    <w:rsid w:val="4B5E45B8"/>
    <w:rsid w:val="4BF71DFE"/>
    <w:rsid w:val="4C0E5B77"/>
    <w:rsid w:val="4DC57782"/>
    <w:rsid w:val="4DF810AC"/>
    <w:rsid w:val="50F10148"/>
    <w:rsid w:val="50F32112"/>
    <w:rsid w:val="517645ED"/>
    <w:rsid w:val="51792D37"/>
    <w:rsid w:val="53326F35"/>
    <w:rsid w:val="53DA462E"/>
    <w:rsid w:val="53DA53DB"/>
    <w:rsid w:val="542425E2"/>
    <w:rsid w:val="54393EBB"/>
    <w:rsid w:val="55061CE8"/>
    <w:rsid w:val="55B013F5"/>
    <w:rsid w:val="55CA11C1"/>
    <w:rsid w:val="5621082A"/>
    <w:rsid w:val="5756111B"/>
    <w:rsid w:val="582864A7"/>
    <w:rsid w:val="58D02D39"/>
    <w:rsid w:val="5A13454B"/>
    <w:rsid w:val="5A1D7123"/>
    <w:rsid w:val="5A513A05"/>
    <w:rsid w:val="5B570FD8"/>
    <w:rsid w:val="5DC2080A"/>
    <w:rsid w:val="5E4733C9"/>
    <w:rsid w:val="5E9A1B85"/>
    <w:rsid w:val="62E9512A"/>
    <w:rsid w:val="62FD1B62"/>
    <w:rsid w:val="641C7C95"/>
    <w:rsid w:val="656B5F2D"/>
    <w:rsid w:val="65B23EF2"/>
    <w:rsid w:val="662F0F0F"/>
    <w:rsid w:val="670A1B0C"/>
    <w:rsid w:val="67FF3F88"/>
    <w:rsid w:val="680B0D7B"/>
    <w:rsid w:val="684828EC"/>
    <w:rsid w:val="6A6D4009"/>
    <w:rsid w:val="6B1B44E6"/>
    <w:rsid w:val="6BB169FA"/>
    <w:rsid w:val="6C1A00FB"/>
    <w:rsid w:val="6C4907A0"/>
    <w:rsid w:val="6C4A4810"/>
    <w:rsid w:val="6C615D2A"/>
    <w:rsid w:val="6F014E03"/>
    <w:rsid w:val="6FCA62DC"/>
    <w:rsid w:val="71AA4AD5"/>
    <w:rsid w:val="733C304D"/>
    <w:rsid w:val="750A0CFF"/>
    <w:rsid w:val="76BC0952"/>
    <w:rsid w:val="788A2AAC"/>
    <w:rsid w:val="78EE6CAC"/>
    <w:rsid w:val="79F214BE"/>
    <w:rsid w:val="7A7953A0"/>
    <w:rsid w:val="7B5405E5"/>
    <w:rsid w:val="7BFE037F"/>
    <w:rsid w:val="7C3B7E88"/>
    <w:rsid w:val="7C603C27"/>
    <w:rsid w:val="7C975798"/>
    <w:rsid w:val="7CE714EC"/>
    <w:rsid w:val="7D3B19E1"/>
    <w:rsid w:val="7D507F04"/>
    <w:rsid w:val="7EB4439D"/>
    <w:rsid w:val="7EBD3628"/>
    <w:rsid w:val="7EEC216D"/>
    <w:rsid w:val="7F030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keepNext/>
      <w:keepLines/>
      <w:spacing w:before="50" w:beforeLines="50" w:line="360" w:lineRule="auto"/>
      <w:outlineLvl w:val="1"/>
    </w:pPr>
    <w:rPr>
      <w:rFonts w:eastAsia="宋体"/>
      <w:b/>
      <w:bCs/>
      <w:szCs w:val="32"/>
    </w:rPr>
  </w:style>
  <w:style w:type="paragraph" w:styleId="5">
    <w:name w:val="heading 3"/>
    <w:basedOn w:val="1"/>
    <w:next w:val="1"/>
    <w:qFormat/>
    <w:uiPriority w:val="0"/>
    <w:pPr>
      <w:keepNext/>
      <w:keepLines/>
      <w:spacing w:before="260" w:after="260" w:line="416" w:lineRule="auto"/>
      <w:jc w:val="center"/>
      <w:outlineLvl w:val="2"/>
    </w:pPr>
    <w:rPr>
      <w:bCs/>
      <w:sz w:val="28"/>
      <w:szCs w:val="32"/>
    </w:rPr>
  </w:style>
  <w:style w:type="paragraph" w:styleId="6">
    <w:name w:val="heading 4"/>
    <w:basedOn w:val="1"/>
    <w:next w:val="1"/>
    <w:qFormat/>
    <w:uiPriority w:val="0"/>
    <w:pPr>
      <w:keepNext/>
      <w:spacing w:line="300" w:lineRule="exact"/>
      <w:jc w:val="center"/>
      <w:outlineLvl w:val="3"/>
    </w:pPr>
    <w:rPr>
      <w:rFonts w:ascii="楷体_GB2312" w:eastAsia="楷体_GB2312"/>
      <w:color w:val="800080"/>
      <w:sz w:val="3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报告正文"/>
    <w:basedOn w:val="1"/>
    <w:qFormat/>
    <w:uiPriority w:val="99"/>
    <w:pPr>
      <w:spacing w:line="360" w:lineRule="auto"/>
      <w:ind w:firstLine="560" w:firstLineChars="200"/>
    </w:pPr>
    <w:rPr>
      <w:sz w:val="28"/>
      <w:szCs w:val="28"/>
    </w:rPr>
  </w:style>
  <w:style w:type="paragraph" w:styleId="7">
    <w:name w:val="Normal Indent"/>
    <w:basedOn w:val="1"/>
    <w:qFormat/>
    <w:uiPriority w:val="0"/>
    <w:pPr>
      <w:ind w:firstLine="420" w:firstLineChars="200"/>
    </w:pPr>
    <w:rPr>
      <w:rFonts w:ascii="Times New Roman" w:hAnsi="Times New Roman"/>
      <w:sz w:val="20"/>
      <w:szCs w:val="20"/>
    </w:rPr>
  </w:style>
  <w:style w:type="paragraph" w:styleId="8">
    <w:name w:val="Salutation"/>
    <w:basedOn w:val="1"/>
    <w:next w:val="1"/>
    <w:qFormat/>
    <w:uiPriority w:val="0"/>
    <w:rPr>
      <w:rFonts w:ascii="仿宋_GB2312;仿宋" w:hAnsi="仿宋_GB2312;仿宋" w:eastAsia="仿宋_GB2312;仿宋" w:cs="宋体;SimSun"/>
      <w:sz w:val="24"/>
      <w:lang w:val="zh-CN"/>
    </w:rPr>
  </w:style>
  <w:style w:type="paragraph" w:styleId="9">
    <w:name w:val="Body Text"/>
    <w:basedOn w:val="1"/>
    <w:qFormat/>
    <w:uiPriority w:val="1"/>
    <w:rPr>
      <w:rFonts w:ascii="宋体" w:hAnsi="宋体" w:eastAsia="宋体" w:cs="宋体"/>
      <w:sz w:val="24"/>
      <w:szCs w:val="24"/>
      <w:lang w:val="zh-CN" w:bidi="zh-CN"/>
    </w:rPr>
  </w:style>
  <w:style w:type="paragraph" w:styleId="10">
    <w:name w:val="index 4"/>
    <w:basedOn w:val="1"/>
    <w:next w:val="1"/>
    <w:unhideWhenUsed/>
    <w:qFormat/>
    <w:uiPriority w:val="99"/>
    <w:pPr>
      <w:ind w:left="600" w:leftChars="600"/>
    </w:pPr>
    <w:rPr>
      <w:rFonts w:ascii="Verdana" w:hAnsi="Verdana"/>
      <w:szCs w:val="20"/>
    </w:rPr>
  </w:style>
  <w:style w:type="paragraph" w:styleId="11">
    <w:name w:val="footer"/>
    <w:basedOn w:val="1"/>
    <w:qFormat/>
    <w:uiPriority w:val="0"/>
    <w:pPr>
      <w:tabs>
        <w:tab w:val="center" w:pos="4153"/>
        <w:tab w:val="right" w:pos="8306"/>
      </w:tabs>
    </w:pPr>
    <w:rPr>
      <w:sz w:val="18"/>
    </w:rPr>
  </w:style>
  <w:style w:type="paragraph" w:styleId="12">
    <w:name w:val="header"/>
    <w:basedOn w:val="1"/>
    <w:unhideWhenUsed/>
    <w:qFormat/>
    <w:uiPriority w:val="99"/>
    <w:pPr>
      <w:pBdr>
        <w:bottom w:val="single" w:color="auto" w:sz="6" w:space="1"/>
      </w:pBdr>
      <w:tabs>
        <w:tab w:val="center" w:pos="4153"/>
        <w:tab w:val="right" w:pos="8306"/>
      </w:tabs>
      <w:jc w:val="center"/>
    </w:pPr>
    <w:rPr>
      <w:rFonts w:ascii="宋体" w:eastAsia="宋体"/>
      <w:sz w:val="18"/>
      <w:szCs w:val="18"/>
    </w:rPr>
  </w:style>
  <w:style w:type="paragraph" w:styleId="13">
    <w:name w:val="toc 1"/>
    <w:basedOn w:val="1"/>
    <w:next w:val="1"/>
    <w:qFormat/>
    <w:uiPriority w:val="39"/>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font01"/>
    <w:basedOn w:val="16"/>
    <w:qFormat/>
    <w:uiPriority w:val="0"/>
    <w:rPr>
      <w:rFonts w:hint="eastAsia" w:ascii="宋体" w:hAnsi="宋体" w:eastAsia="宋体" w:cs="宋体"/>
      <w:color w:val="000000"/>
      <w:sz w:val="24"/>
      <w:szCs w:val="24"/>
      <w:u w:val="none"/>
      <w:vertAlign w:val="superscript"/>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styleId="21">
    <w:name w:val="List Paragraph"/>
    <w:basedOn w:val="1"/>
    <w:qFormat/>
    <w:uiPriority w:val="99"/>
    <w:pPr>
      <w:ind w:firstLine="420" w:firstLineChars="200"/>
    </w:pPr>
  </w:style>
  <w:style w:type="character" w:customStyle="1" w:styleId="22">
    <w:name w:val="font31"/>
    <w:basedOn w:val="16"/>
    <w:qFormat/>
    <w:uiPriority w:val="0"/>
    <w:rPr>
      <w:rFonts w:hint="eastAsia" w:ascii="宋体" w:hAnsi="宋体" w:eastAsia="宋体" w:cs="宋体"/>
      <w:b/>
      <w:bCs/>
      <w:color w:val="000000"/>
      <w:sz w:val="20"/>
      <w:szCs w:val="20"/>
      <w:u w:val="none"/>
    </w:rPr>
  </w:style>
  <w:style w:type="character" w:customStyle="1" w:styleId="23">
    <w:name w:val="font11"/>
    <w:basedOn w:val="16"/>
    <w:qFormat/>
    <w:uiPriority w:val="0"/>
    <w:rPr>
      <w:rFonts w:hint="eastAsia" w:ascii="宋体" w:hAnsi="宋体" w:eastAsia="宋体" w:cs="宋体"/>
      <w:color w:val="000000"/>
      <w:sz w:val="20"/>
      <w:szCs w:val="20"/>
      <w:u w:val="none"/>
    </w:rPr>
  </w:style>
  <w:style w:type="paragraph" w:customStyle="1" w:styleId="24">
    <w:name w:val="Table Paragraph"/>
    <w:basedOn w:val="1"/>
    <w:qFormat/>
    <w:uiPriority w:val="1"/>
    <w:pPr>
      <w:widowControl w:val="0"/>
      <w:kinsoku/>
      <w:snapToGrid/>
      <w:textAlignment w:val="auto"/>
    </w:pPr>
    <w:rPr>
      <w:rFonts w:ascii="Times New Roman" w:hAnsi="Times New Roman" w:cs="Times New Roman" w:eastAsiaTheme="minorEastAsia"/>
      <w:snapToGrid/>
      <w:color w:val="auto"/>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2189</Words>
  <Characters>2665</Characters>
  <Lines>44</Lines>
  <Paragraphs>12</Paragraphs>
  <TotalTime>3</TotalTime>
  <ScaleCrop>false</ScaleCrop>
  <LinksUpToDate>false</LinksUpToDate>
  <CharactersWithSpaces>2726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2022-03-25T00:19:00Z</dcterms:created>
  <dc:creator> Mr.Guang</dc:creator>
  <cp:lastModifiedBy>冷</cp:lastModifiedBy>
  <cp:lastPrinted>2024-07-04T01:21:00Z</cp:lastPrinted>
  <dcterms:modified xsi:type="dcterms:W3CDTF">2025-04-23T06:39:50Z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8D16427873DC42C0A879D5D40ABF4B47_13</vt:lpwstr>
  </property>
  <property fmtid="{D5CDD505-2E9C-101B-9397-08002B2CF9AE}" pid="4" name="KSOTemplateDocerSaveRecord">
    <vt:lpwstr>eyJoZGlkIjoiMWYzZTQ1M2Y3ZTE4MmQxNzlmZWI0NDRhNDkzMTIzOGEiLCJ1c2VySWQiOiI0NDI4ODYxODMifQ==</vt:lpwstr>
  </property>
</Properties>
</file>