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bookmarkStart w:id="0" w:name="_Toc23900"/>
    </w:p>
    <w:p>
      <w:pPr>
        <w:spacing w:before="170" w:line="185" w:lineRule="auto"/>
        <w:jc w:val="both"/>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一、说明</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1.1本招标文件仅适用于招标公告中所叙述项目的服务招标。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2.1招标人：</w:t>
      </w:r>
      <w:r>
        <w:rPr>
          <w:rFonts w:hint="eastAsia" w:ascii="宋体" w:hAnsi="宋体" w:cs="宋体"/>
          <w:color w:val="auto"/>
          <w:sz w:val="24"/>
          <w:highlight w:val="none"/>
          <w:u w:val="single"/>
        </w:rPr>
        <w:t>中机数控科技（福建）有限公司</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2.2投标人：按照本文件规定获得投标文件并参加投标的服务提供商。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2.3服务</w:t>
      </w:r>
      <w:r>
        <w:rPr>
          <w:rFonts w:hint="eastAsia" w:ascii="宋体" w:hAnsi="宋体"/>
          <w:bCs/>
          <w:color w:val="auto"/>
          <w:sz w:val="24"/>
          <w:highlight w:val="none"/>
        </w:rPr>
        <w:t>：系指招标文件规定服务提供商必须承担的各项技术服务以及其他类似的义务。</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3.1投标人应遵守中国的有关法律、法规和规章的规定</w:t>
      </w:r>
      <w:r>
        <w:rPr>
          <w:rFonts w:hint="eastAsia" w:ascii="宋体" w:hAnsi="宋体"/>
          <w:bCs/>
          <w:color w:val="auto"/>
          <w:sz w:val="24"/>
          <w:highlight w:val="none"/>
        </w:rPr>
        <w:t>，并满足招标文件要求</w:t>
      </w:r>
      <w:r>
        <w:rPr>
          <w:rFonts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3.2一个投标人只能提交一个投标文件，如果投标人之间存在下列互为关联关系的情形之一的，不得同时参加本项目投标：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(1) </w:t>
      </w:r>
      <w:r>
        <w:rPr>
          <w:rFonts w:hint="eastAsia" w:ascii="宋体" w:hAnsi="宋体"/>
          <w:bCs/>
          <w:color w:val="auto"/>
          <w:sz w:val="24"/>
          <w:highlight w:val="none"/>
        </w:rPr>
        <w:t>法定代表人为同一人的两个及两个以上法人；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(2) </w:t>
      </w:r>
      <w:r>
        <w:rPr>
          <w:rFonts w:hint="eastAsia" w:ascii="宋体" w:hAnsi="宋体"/>
          <w:bCs/>
          <w:color w:val="auto"/>
          <w:sz w:val="24"/>
          <w:highlight w:val="none"/>
        </w:rPr>
        <w:t>母公司、直接或间接持股</w:t>
      </w:r>
      <w:r>
        <w:rPr>
          <w:rFonts w:ascii="宋体" w:hAnsi="宋体"/>
          <w:bCs/>
          <w:color w:val="auto"/>
          <w:sz w:val="24"/>
          <w:highlight w:val="none"/>
        </w:rPr>
        <w:t>50％及以上的被投资公司；</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(3) </w:t>
      </w:r>
      <w:r>
        <w:rPr>
          <w:rFonts w:hint="eastAsia" w:ascii="宋体" w:hAnsi="宋体"/>
          <w:bCs/>
          <w:color w:val="auto"/>
          <w:sz w:val="24"/>
          <w:highlight w:val="none"/>
        </w:rPr>
        <w:t>均为同一家母公司直接或间接持股</w:t>
      </w:r>
      <w:r>
        <w:rPr>
          <w:rFonts w:ascii="宋体" w:hAnsi="宋体"/>
          <w:bCs/>
          <w:color w:val="auto"/>
          <w:sz w:val="24"/>
          <w:highlight w:val="none"/>
        </w:rPr>
        <w:t>50％及以上的被投资公司。</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．投标费用</w:t>
      </w:r>
    </w:p>
    <w:p>
      <w:pPr>
        <w:spacing w:line="400" w:lineRule="exact"/>
        <w:ind w:firstLine="480" w:firstLineChars="200"/>
        <w:rPr>
          <w:color w:val="auto"/>
          <w:sz w:val="24"/>
          <w:highlight w:val="none"/>
        </w:rPr>
      </w:pPr>
      <w:r>
        <w:rPr>
          <w:rFonts w:ascii="宋体" w:hAnsi="宋体"/>
          <w:bCs/>
          <w:color w:val="auto"/>
          <w:sz w:val="24"/>
          <w:highlight w:val="none"/>
        </w:rPr>
        <w:t>4.1投标人自行承担其参加投标所涉及的一切费用。</w:t>
      </w:r>
      <w:r>
        <w:rPr>
          <w:rFonts w:hint="eastAsia"/>
          <w:color w:val="auto"/>
          <w:sz w:val="24"/>
          <w:highlight w:val="none"/>
        </w:rPr>
        <w:t>无论投标结果如何，招标人不承担上述费用，且投标文件不退还投标人。</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二、招标文件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．招标文件的组成</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5.1招标文件用以阐明所需服务招标程序和合同主要条款。招标文件由下述部分组成：</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招标公告</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投标须知</w:t>
      </w:r>
      <w:r>
        <w:rPr>
          <w:rFonts w:hint="eastAsia" w:ascii="宋体" w:hAnsi="宋体"/>
          <w:bCs/>
          <w:color w:val="auto"/>
          <w:sz w:val="24"/>
          <w:highlight w:val="none"/>
        </w:rPr>
        <w:t>前附表</w:t>
      </w:r>
      <w:r>
        <w:rPr>
          <w:rFonts w:ascii="宋体" w:hAnsi="宋体"/>
          <w:bCs/>
          <w:color w:val="auto"/>
          <w:sz w:val="24"/>
          <w:highlight w:val="none"/>
        </w:rPr>
        <w:t xml:space="preserve"> </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 投标</w:t>
      </w:r>
      <w:r>
        <w:rPr>
          <w:rFonts w:hint="eastAsia" w:ascii="宋体" w:hAnsi="宋体"/>
          <w:bCs/>
          <w:color w:val="auto"/>
          <w:sz w:val="24"/>
          <w:highlight w:val="none"/>
        </w:rPr>
        <w:t>人</w:t>
      </w:r>
      <w:r>
        <w:rPr>
          <w:rFonts w:ascii="宋体" w:hAnsi="宋体"/>
          <w:bCs/>
          <w:color w:val="auto"/>
          <w:sz w:val="24"/>
          <w:highlight w:val="none"/>
        </w:rPr>
        <w:t>须知</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4) 资格后审文件</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5)</w:t>
      </w:r>
      <w:r>
        <w:rPr>
          <w:rFonts w:hint="eastAsia" w:ascii="宋体" w:hAnsi="宋体"/>
          <w:bCs/>
          <w:color w:val="auto"/>
          <w:sz w:val="24"/>
          <w:highlight w:val="none"/>
        </w:rPr>
        <w:t xml:space="preserve"> 评标办法</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6）</w:t>
      </w:r>
      <w:r>
        <w:rPr>
          <w:rFonts w:hint="eastAsia" w:ascii="宋体" w:hAnsi="宋体"/>
          <w:bCs/>
          <w:color w:val="auto"/>
          <w:sz w:val="24"/>
          <w:highlight w:val="none"/>
        </w:rPr>
        <w:t>合同</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7）投标文件格式</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．招标文件的澄清</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6.1投标人对招标文件如有疑点，可要求澄清。要求澄清应按招标文件中载明的地址以书面形式（包括信函、电报或传真，下同）通知</w:t>
      </w:r>
      <w:r>
        <w:rPr>
          <w:rFonts w:hint="eastAsia" w:ascii="宋体" w:hAnsi="宋体"/>
          <w:bCs/>
          <w:color w:val="auto"/>
          <w:sz w:val="24"/>
          <w:highlight w:val="none"/>
        </w:rPr>
        <w:t>招标人。招标人将视情况在投标截止时间前将不标明查询来源的书面答复发给所有投标人。该澄清内容为招标文件的组成部分，对投标人具有约束力。</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．招标文件的修改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7.1为使投标人在准备投标文件时有合理的时间考虑招标文件的修改，招标</w:t>
      </w:r>
      <w:r>
        <w:rPr>
          <w:rFonts w:hint="eastAsia" w:ascii="宋体" w:hAnsi="宋体"/>
          <w:bCs/>
          <w:color w:val="auto"/>
          <w:sz w:val="24"/>
          <w:highlight w:val="none"/>
        </w:rPr>
        <w:t>人可酌情推迟投标文件递交截止时间和开标时间，但应当至少在投标文件递交截止时间三个日历日前将变更时间在招标信息发布的媒体上发布招标答疑或</w:t>
      </w:r>
      <w:r>
        <w:rPr>
          <w:rFonts w:ascii="宋体" w:hAnsi="宋体"/>
          <w:bCs/>
          <w:color w:val="auto"/>
          <w:sz w:val="24"/>
          <w:highlight w:val="none"/>
        </w:rPr>
        <w:t>以</w:t>
      </w:r>
      <w:r>
        <w:rPr>
          <w:rFonts w:hint="eastAsia" w:ascii="宋体" w:hAnsi="宋体"/>
          <w:bCs/>
          <w:color w:val="auto"/>
          <w:sz w:val="24"/>
          <w:highlight w:val="none"/>
        </w:rPr>
        <w:t>电子邮件的方式告知投标人，投标人可向招标人索取书面答疑文件，该修改内容为招标文件的组成部分。在此情况下，招标人和投标人受投标文件递交截止期制约的所有权利和义务均应延长至新的截止日期。</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三、投标文件的编写</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．要求</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8.1投标人应仔细阅读招标文件的所有内容，按照招标文件的要求提交投标文件。投标文件应对招标文件的要求</w:t>
      </w:r>
      <w:r>
        <w:rPr>
          <w:rFonts w:hint="eastAsia" w:ascii="宋体" w:hAnsi="宋体"/>
          <w:bCs/>
          <w:color w:val="auto"/>
          <w:sz w:val="24"/>
          <w:highlight w:val="none"/>
        </w:rPr>
        <w:t>作出实质性响应，并保证所提供的全部资料的真实性，否则其投标将被拒绝。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8.2招标</w:t>
      </w:r>
      <w:r>
        <w:rPr>
          <w:rFonts w:hint="eastAsia" w:ascii="宋体" w:hAnsi="宋体"/>
          <w:bCs/>
          <w:color w:val="auto"/>
          <w:sz w:val="24"/>
          <w:highlight w:val="none"/>
        </w:rPr>
        <w:t>人不接受有任何可选择性的投标文件，每一项服务只能有一个投标报价及投标文件。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．投标文件语言</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9.1投标文件应用中文书写。投标文件中所附或所引用的原件不是中文时，应附中文译本。各种计量单位及符号应采用国际上统一使用的公制计量单位和符号。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．投标文件的组成</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投标人应仔细阅读招标文件的所有内容，按招标文件的要求提供投标文件，投标人应将投标文件按目录顺序装订成册，否则，其投标可能被拒绝。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10.1资格后审申请书</w:t>
      </w:r>
      <w:r>
        <w:rPr>
          <w:rFonts w:hint="eastAsia" w:ascii="宋体" w:hAnsi="宋体"/>
          <w:bCs/>
          <w:color w:val="auto"/>
          <w:sz w:val="24"/>
          <w:highlight w:val="none"/>
        </w:rPr>
        <w:t>（要求详第三章资格后审文件，格式见第六章投标文件格式）</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10.2</w:t>
      </w:r>
      <w:r>
        <w:rPr>
          <w:rFonts w:hint="eastAsia" w:ascii="宋体" w:hAnsi="宋体"/>
          <w:bCs/>
          <w:color w:val="auto"/>
          <w:sz w:val="24"/>
          <w:highlight w:val="none"/>
        </w:rPr>
        <w:t>技术、</w:t>
      </w:r>
      <w:r>
        <w:rPr>
          <w:rFonts w:ascii="宋体" w:hAnsi="宋体"/>
          <w:bCs/>
          <w:color w:val="auto"/>
          <w:sz w:val="24"/>
          <w:highlight w:val="none"/>
        </w:rPr>
        <w:t>商务标投标文件</w:t>
      </w:r>
      <w:r>
        <w:rPr>
          <w:rFonts w:hint="eastAsia" w:ascii="宋体" w:hAnsi="宋体"/>
          <w:bCs/>
          <w:color w:val="auto"/>
          <w:sz w:val="24"/>
          <w:highlight w:val="none"/>
        </w:rPr>
        <w:t>（格式详第六章投标文件格式）</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．报价有效期</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11.1投标文件从</w:t>
      </w:r>
      <w:r>
        <w:rPr>
          <w:rFonts w:hint="eastAsia" w:ascii="宋体" w:hAnsi="宋体"/>
          <w:bCs/>
          <w:color w:val="auto"/>
          <w:sz w:val="24"/>
          <w:highlight w:val="none"/>
        </w:rPr>
        <w:t>投标须知前附表第14</w:t>
      </w:r>
      <w:r>
        <w:rPr>
          <w:rFonts w:ascii="宋体" w:hAnsi="宋体"/>
          <w:bCs/>
          <w:color w:val="auto"/>
          <w:sz w:val="24"/>
          <w:highlight w:val="none"/>
        </w:rPr>
        <w:t>项</w:t>
      </w:r>
      <w:r>
        <w:rPr>
          <w:rFonts w:hint="eastAsia" w:ascii="宋体" w:hAnsi="宋体"/>
          <w:bCs/>
          <w:color w:val="auto"/>
          <w:sz w:val="24"/>
          <w:highlight w:val="none"/>
        </w:rPr>
        <w:t>所规定的投标文件递交截止期之后开始生效，在投标须知前附表第11</w:t>
      </w:r>
      <w:r>
        <w:rPr>
          <w:rFonts w:ascii="宋体" w:hAnsi="宋体"/>
          <w:bCs/>
          <w:color w:val="auto"/>
          <w:sz w:val="24"/>
          <w:highlight w:val="none"/>
        </w:rPr>
        <w:t>项所</w:t>
      </w:r>
      <w:r>
        <w:rPr>
          <w:rFonts w:hint="eastAsia" w:ascii="宋体" w:hAnsi="宋体"/>
          <w:bCs/>
          <w:color w:val="auto"/>
          <w:sz w:val="24"/>
          <w:highlight w:val="none"/>
        </w:rPr>
        <w:t>规定的期限内保持有效，有效期不足将导致其投标文件被拒绝。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11.2特殊情况下招标</w:t>
      </w:r>
      <w:r>
        <w:rPr>
          <w:rFonts w:hint="eastAsia" w:ascii="宋体" w:hAnsi="宋体"/>
          <w:bCs/>
          <w:color w:val="auto"/>
          <w:sz w:val="24"/>
          <w:highlight w:val="none"/>
        </w:rPr>
        <w:t>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报价有效期延长期内继续有效。</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．投标保证金</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12.1投标保证金为投标文件的组成部分之一。</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12.2投标人应在</w:t>
      </w:r>
      <w:r>
        <w:rPr>
          <w:rFonts w:hint="eastAsia" w:ascii="宋体" w:hAnsi="宋体"/>
          <w:bCs/>
          <w:color w:val="auto"/>
          <w:sz w:val="24"/>
          <w:highlight w:val="none"/>
        </w:rPr>
        <w:t>截止投标前，从投标人所在地企业基本账户转到招标人指定的投标保证金账户，具体详见投标须知前附表第16项规定。同时，为方便和及时退还投标保证金</w:t>
      </w:r>
      <w:r>
        <w:rPr>
          <w:rFonts w:ascii="宋体" w:hAnsi="宋体"/>
          <w:bCs/>
          <w:color w:val="auto"/>
          <w:sz w:val="24"/>
          <w:highlight w:val="none"/>
        </w:rPr>
        <w:t>,投标人应在递交的投标保证金票据上加盖账号章（注明投标人开户银行及账号），并备注说明“所投项目的名称”。</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3投标保证金用于保护本次招标活动免受投标人的行为而引起的风险。</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4未按规定缴交投标保证金的投标，将被视为无效投标。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5未中标投标人的投标保证金可以在招标人发出中标通知书后十个工作日予</w:t>
      </w:r>
      <w:r>
        <w:rPr>
          <w:rFonts w:hint="eastAsia" w:ascii="宋体" w:hAnsi="宋体" w:cs="宋体"/>
          <w:color w:val="auto"/>
          <w:sz w:val="24"/>
          <w:highlight w:val="none"/>
        </w:rPr>
        <w:t>以原额无息</w:t>
      </w:r>
      <w:r>
        <w:rPr>
          <w:rFonts w:hint="eastAsia" w:ascii="宋体" w:hAnsi="宋体"/>
          <w:bCs/>
          <w:color w:val="auto"/>
          <w:sz w:val="24"/>
          <w:highlight w:val="none"/>
        </w:rPr>
        <w:t>退还；但如果此时存在争端并且未能得到解决，则投标保证金除须在上述争端最终解决后</w:t>
      </w:r>
      <w:r>
        <w:rPr>
          <w:rFonts w:ascii="宋体" w:hAnsi="宋体"/>
          <w:bCs/>
          <w:color w:val="auto"/>
          <w:sz w:val="24"/>
          <w:highlight w:val="none"/>
        </w:rPr>
        <w:t>5个工作日内</w:t>
      </w:r>
      <w:r>
        <w:rPr>
          <w:rFonts w:hint="eastAsia" w:ascii="宋体" w:hAnsi="宋体"/>
          <w:bCs/>
          <w:color w:val="auto"/>
          <w:sz w:val="24"/>
          <w:highlight w:val="none"/>
        </w:rPr>
        <w:t>予</w:t>
      </w:r>
      <w:r>
        <w:rPr>
          <w:rFonts w:hint="eastAsia" w:ascii="宋体" w:hAnsi="宋体" w:cs="宋体"/>
          <w:color w:val="auto"/>
          <w:sz w:val="24"/>
          <w:highlight w:val="none"/>
        </w:rPr>
        <w:t>以原额无息</w:t>
      </w:r>
      <w:r>
        <w:rPr>
          <w:rFonts w:ascii="宋体" w:hAnsi="宋体"/>
          <w:bCs/>
          <w:color w:val="auto"/>
          <w:sz w:val="24"/>
          <w:highlight w:val="none"/>
        </w:rPr>
        <w:t>退还</w:t>
      </w:r>
      <w:r>
        <w:rPr>
          <w:rFonts w:hint="eastAsia" w:ascii="宋体" w:hAnsi="宋体"/>
          <w:bCs/>
          <w:color w:val="auto"/>
          <w:sz w:val="24"/>
          <w:highlight w:val="none"/>
        </w:rPr>
        <w:t>，未中标投标人需按招标人要求</w:t>
      </w:r>
      <w:r>
        <w:rPr>
          <w:rFonts w:hint="eastAsia" w:ascii="宋体" w:hAnsi="宋体" w:cs="宋体"/>
          <w:color w:val="auto"/>
          <w:sz w:val="24"/>
          <w:highlight w:val="none"/>
        </w:rPr>
        <w:t>出具收款收据等有关资料到招标人处办理退还投标保证金手续</w:t>
      </w:r>
      <w:r>
        <w:rPr>
          <w:rFonts w:hint="eastAsia" w:ascii="宋体" w:hAnsi="宋体"/>
          <w:bCs/>
          <w:color w:val="auto"/>
          <w:sz w:val="24"/>
          <w:highlight w:val="none"/>
        </w:rPr>
        <w:t>。</w:t>
      </w:r>
    </w:p>
    <w:p>
      <w:pPr>
        <w:spacing w:line="400" w:lineRule="exact"/>
        <w:ind w:firstLine="480" w:firstLineChars="200"/>
        <w:rPr>
          <w:rFonts w:hint="eastAsia" w:ascii="宋体" w:hAnsi="宋体"/>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6</w:t>
      </w:r>
      <w:r>
        <w:rPr>
          <w:rFonts w:hint="eastAsia" w:ascii="宋体" w:hAnsi="宋体"/>
          <w:color w:val="auto"/>
          <w:sz w:val="24"/>
          <w:highlight w:val="none"/>
        </w:rPr>
        <w:t>中标单位的投标保证金自动结转为履约保证金</w:t>
      </w:r>
      <w:r>
        <w:rPr>
          <w:rFonts w:hint="eastAsia" w:ascii="宋体" w:hAnsi="宋体" w:cs="宋体"/>
          <w:color w:val="auto"/>
          <w:sz w:val="24"/>
          <w:highlight w:val="none"/>
        </w:rPr>
        <w:t>，待</w:t>
      </w:r>
      <w:r>
        <w:rPr>
          <w:rFonts w:hint="eastAsia" w:ascii="宋体" w:hAnsi="宋体" w:cs="宋体"/>
          <w:bCs/>
          <w:color w:val="auto"/>
          <w:sz w:val="24"/>
          <w:highlight w:val="none"/>
        </w:rPr>
        <w:t>竣工验收合格</w:t>
      </w:r>
      <w:r>
        <w:rPr>
          <w:rFonts w:hint="eastAsia" w:ascii="宋体" w:hAnsi="宋体"/>
          <w:color w:val="auto"/>
          <w:sz w:val="24"/>
          <w:highlight w:val="none"/>
        </w:rPr>
        <w:t>后原额无息退还。</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7发生以下情况之一的，投标保证金将不予退还：</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12.7.1除不可抗力外，投标人在投标有效期内撤销、撤回或修改其投标文件的。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12.7.2中标人非因不可抗力原因放弃中标项目的、无正当理由不与招标人签订合同的、或在签订合同时向招标人提出附加条件或者更改合同实质性内容的、或不按照招标文件要求提交履约担保的。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12.7.3因中标人的违法行为导致中标被依法确认无效的。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12.7.4投标人弄虚作假、围标串标、挂靠投标、低价抢标或以不正当手段谋取中标。</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12.7.5投标人提交了虚假资料或伪造材料的。</w:t>
      </w:r>
    </w:p>
    <w:p>
      <w:pPr>
        <w:pStyle w:val="21"/>
        <w:adjustRightInd w:val="0"/>
        <w:spacing w:line="420" w:lineRule="exact"/>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12.7.6法律、法规规定的可没收投标保证金的情形，或者存在违反相关法律、法规的情形。</w:t>
      </w:r>
    </w:p>
    <w:p>
      <w:pPr>
        <w:spacing w:line="42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12.7.7被相关主管部门认定为可没收投标保证金的情形。</w:t>
      </w:r>
    </w:p>
    <w:p>
      <w:pPr>
        <w:pStyle w:val="5"/>
        <w:snapToGrid w:val="0"/>
        <w:spacing w:line="420" w:lineRule="exact"/>
        <w:ind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12.7.8招标文件规定的没收投标保证金的情形。</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上述不予退还投标保证金的情况给招标人造成损失的，投标人还要承担赔偿责任。</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．投标文件的格式、编制、签署</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13.1投标文件正本</w:t>
      </w:r>
      <w:r>
        <w:rPr>
          <w:rFonts w:hint="eastAsia" w:ascii="宋体" w:hAnsi="宋体"/>
          <w:bCs/>
          <w:color w:val="auto"/>
          <w:sz w:val="24"/>
          <w:highlight w:val="none"/>
        </w:rPr>
        <w:t>壹份，副本肆份，正本必须用</w:t>
      </w:r>
      <w:r>
        <w:rPr>
          <w:rFonts w:ascii="宋体" w:hAnsi="宋体"/>
          <w:bCs/>
          <w:color w:val="auto"/>
          <w:sz w:val="24"/>
          <w:highlight w:val="none"/>
        </w:rPr>
        <w:t>A4幅面纸张打印装订，其中资格后</w:t>
      </w:r>
      <w:r>
        <w:rPr>
          <w:rFonts w:hint="eastAsia" w:ascii="宋体" w:hAnsi="宋体"/>
          <w:bCs/>
          <w:color w:val="auto"/>
          <w:sz w:val="24"/>
          <w:highlight w:val="none"/>
        </w:rPr>
        <w:t>审文件与技术、商务投标文件分别单独装订成册；副本可以用正本的完整复印件，并在封面标明“正本”、“副本”字样。正本与副本如有不一致，则以正本为准。</w:t>
      </w:r>
      <w:r>
        <w:rPr>
          <w:rFonts w:hint="eastAsia"/>
          <w:color w:val="auto"/>
          <w:kern w:val="0"/>
          <w:sz w:val="24"/>
          <w:highlight w:val="none"/>
        </w:rPr>
        <w:t>投标保证金缴交凭证（银行受理回单）原件或复印件（缴交时应列明投标的工程名称并加盖投标人印鉴）装订在资格后审申请书中</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13.2投标文件封面应加盖投标人印鉴（公章）并经投标人的法定代表人或其委托代理人签字或加盖私章。投标文件由委托代理人签字或盖章的，必须填写投标文件法人代表授权委托书。</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13.3除非有另外的规定或许可，投标使用货币为人民币。</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13.4投标文件的正本和全部副本均应使用不能擦去的墨料或墨水打印、书写或复印，并由法定代表人或其授权代表签署，盖投标人公章。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13.5全套投标文件应无涂改和行间插字，有改动时，修改处应由授权代表签署证明</w:t>
      </w:r>
      <w:r>
        <w:rPr>
          <w:rFonts w:hint="eastAsia" w:ascii="宋体" w:hAnsi="宋体"/>
          <w:bCs/>
          <w:color w:val="auto"/>
          <w:sz w:val="24"/>
          <w:highlight w:val="none"/>
        </w:rPr>
        <w:t>并加盖公章或校正章。</w:t>
      </w:r>
      <w:r>
        <w:rPr>
          <w:rFonts w:ascii="宋体" w:hAnsi="宋体"/>
          <w:bCs/>
          <w:color w:val="auto"/>
          <w:sz w:val="24"/>
          <w:highlight w:val="none"/>
        </w:rPr>
        <w:t xml:space="preserve"> </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13.6未按本须知规定的格式填写投标文件、投标文件字迹模糊不清的，其投标将被拒绝。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13.7所有资格证明文件复印件须注明“与原件一致”并加盖投标人公章。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13.8投标人应将上述文件按顺序胶装成册、打印页码，并编列投标文件目录、资料清单；由于装订不规范或编排顺序混乱导致投标文件被误读或漏读，该投标可能被视为无效投标或承担不利的投标结果。</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四、投标文件的提交</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w:t>
      </w:r>
      <w:r>
        <w:rPr>
          <w:rFonts w:ascii="宋体" w:hAnsi="宋体"/>
          <w:bCs/>
          <w:color w:val="auto"/>
          <w:sz w:val="24"/>
          <w:highlight w:val="none"/>
        </w:rPr>
        <w:tab/>
      </w:r>
      <w:r>
        <w:rPr>
          <w:rFonts w:hint="eastAsia" w:ascii="宋体" w:hAnsi="宋体"/>
          <w:bCs/>
          <w:color w:val="auto"/>
          <w:sz w:val="24"/>
          <w:highlight w:val="none"/>
        </w:rPr>
        <w:t>投标文件的密封、标记和递交</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14.1投标人应将投标文件正本和全部副本分别用信封密封，密封袋上应标</w:t>
      </w:r>
      <w:r>
        <w:rPr>
          <w:rFonts w:hint="eastAsia" w:ascii="宋体" w:hAnsi="宋体"/>
          <w:bCs/>
          <w:color w:val="auto"/>
          <w:sz w:val="24"/>
          <w:highlight w:val="none"/>
        </w:rPr>
        <w:t>明项目名称、招标编号、“正本”或“副本”、</w:t>
      </w:r>
      <w:r>
        <w:rPr>
          <w:rFonts w:ascii="宋体" w:hAnsi="宋体"/>
          <w:bCs/>
          <w:color w:val="auto"/>
          <w:sz w:val="24"/>
          <w:highlight w:val="none"/>
        </w:rPr>
        <w:t xml:space="preserve"> </w:t>
      </w:r>
      <w:r>
        <w:rPr>
          <w:rFonts w:hint="eastAsia" w:ascii="宋体" w:hAnsi="宋体"/>
          <w:bCs/>
          <w:color w:val="auto"/>
          <w:sz w:val="24"/>
          <w:highlight w:val="none"/>
        </w:rPr>
        <w:t>投标人名称并由企业法定代表人或授权委托代理人签字并加盖单位公章。投标文件未密封完整的将导致投标被拒绝。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14.2每一信封密封处应注明“于</w:t>
      </w:r>
      <w:r>
        <w:rPr>
          <w:rFonts w:ascii="宋体" w:hAnsi="宋体"/>
          <w:bCs/>
          <w:color w:val="auto"/>
          <w:sz w:val="24"/>
          <w:highlight w:val="none"/>
          <w:u w:val="single"/>
        </w:rPr>
        <w:t xml:space="preserve"> </w:t>
      </w:r>
      <w:r>
        <w:rPr>
          <w:rFonts w:hint="eastAsia" w:ascii="宋体" w:hAnsi="宋体"/>
          <w:bCs/>
          <w:color w:val="auto"/>
          <w:sz w:val="24"/>
          <w:highlight w:val="none"/>
          <w:u w:val="single"/>
        </w:rPr>
        <w:t>2023年</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日</w:t>
      </w:r>
      <w:r>
        <w:rPr>
          <w:rFonts w:hint="eastAsia" w:ascii="宋体" w:hAnsi="宋体" w:eastAsia="宋体"/>
          <w:bCs/>
          <w:color w:val="auto"/>
          <w:sz w:val="24"/>
          <w:highlight w:val="none"/>
          <w:u w:val="single"/>
          <w:lang w:val="en-US" w:eastAsia="zh-CN"/>
        </w:rPr>
        <w:t>下午15：00</w:t>
      </w:r>
      <w:bookmarkStart w:id="3" w:name="_GoBack"/>
      <w:bookmarkEnd w:id="3"/>
      <w:r>
        <w:rPr>
          <w:rFonts w:ascii="宋体" w:hAnsi="宋体"/>
          <w:bCs/>
          <w:color w:val="auto"/>
          <w:sz w:val="24"/>
          <w:highlight w:val="none"/>
          <w:u w:val="single"/>
        </w:rPr>
        <w:t xml:space="preserve">  </w:t>
      </w:r>
      <w:r>
        <w:rPr>
          <w:rFonts w:hint="eastAsia" w:ascii="宋体" w:hAnsi="宋体"/>
          <w:bCs/>
          <w:color w:val="auto"/>
          <w:sz w:val="24"/>
          <w:highlight w:val="none"/>
        </w:rPr>
        <w:t>之前（指招标公告中规定的投标截止时间）不准启封”的字样，并加盖投标人公章。</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14.3如果投标文件由</w:t>
      </w:r>
      <w:r>
        <w:rPr>
          <w:rFonts w:hint="eastAsia" w:ascii="宋体" w:hAnsi="宋体"/>
          <w:bCs/>
          <w:color w:val="auto"/>
          <w:sz w:val="24"/>
          <w:highlight w:val="none"/>
        </w:rPr>
        <w:t>第三方物流</w:t>
      </w:r>
      <w:r>
        <w:rPr>
          <w:rFonts w:ascii="宋体" w:hAnsi="宋体"/>
          <w:bCs/>
          <w:color w:val="auto"/>
          <w:sz w:val="24"/>
          <w:highlight w:val="none"/>
        </w:rPr>
        <w:t>或专人送交，投标人应将投标文件按照本须知第14.1条至第14.2条的规定进行密封和标记后，按投标人须知前附表注明的地址送至</w:t>
      </w:r>
      <w:r>
        <w:rPr>
          <w:rFonts w:hint="eastAsia" w:ascii="宋体" w:hAnsi="宋体"/>
          <w:bCs/>
          <w:color w:val="auto"/>
          <w:sz w:val="24"/>
          <w:highlight w:val="none"/>
        </w:rPr>
        <w:t>招标人处，投标文件如有丢失或未按规定时间送达的，将导致投标被拒绝。</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14.4如果未按上述规定进行密封和标记，招标</w:t>
      </w:r>
      <w:r>
        <w:rPr>
          <w:rFonts w:hint="eastAsia" w:ascii="宋体" w:hAnsi="宋体"/>
          <w:bCs/>
          <w:color w:val="auto"/>
          <w:sz w:val="24"/>
          <w:highlight w:val="none"/>
        </w:rPr>
        <w:t>人将不承担由此造成的对投标文件的误投或提前拆封的责任。</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14.5投标文件应在招标公告中规定的截止时间前送达，迟到的投标文件为无效投标文件, </w:t>
      </w:r>
      <w:r>
        <w:rPr>
          <w:rFonts w:hint="eastAsia" w:ascii="宋体" w:hAnsi="宋体"/>
          <w:bCs/>
          <w:color w:val="auto"/>
          <w:sz w:val="24"/>
          <w:highlight w:val="none"/>
        </w:rPr>
        <w:t>将被拒收。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14.6投标人在投标文件递交截止时间前，可以对所提交的投标文件进行修改或者撤回，并书面通知招标</w:t>
      </w:r>
      <w:r>
        <w:rPr>
          <w:rFonts w:hint="eastAsia" w:ascii="宋体" w:hAnsi="宋体"/>
          <w:bCs/>
          <w:color w:val="auto"/>
          <w:sz w:val="24"/>
          <w:highlight w:val="none"/>
        </w:rPr>
        <w:t>人。修改的内容和撤回通知应当按招标人要求签署、盖章、密封，并作为投标文件的组成部分。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14.7投标人在投标文件递交截止期后不得修改、撤回投标文件。投标人在投标文件递交截止期后修改投标文件的，其投标被拒绝。</w:t>
      </w:r>
    </w:p>
    <w:p>
      <w:pPr>
        <w:spacing w:line="400" w:lineRule="exact"/>
        <w:ind w:firstLine="480" w:firstLineChars="200"/>
        <w:rPr>
          <w:rFonts w:ascii="宋体" w:hAnsi="宋体"/>
          <w:b/>
          <w:bCs/>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．投标注意事项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15.1</w:t>
      </w:r>
      <w:r>
        <w:rPr>
          <w:rFonts w:hint="eastAsia" w:ascii="宋体" w:hAnsi="宋体" w:cs="宋体"/>
          <w:snapToGrid w:val="0"/>
          <w:color w:val="auto"/>
          <w:kern w:val="0"/>
          <w:sz w:val="24"/>
          <w:highlight w:val="none"/>
        </w:rPr>
        <w:t>本工程为总价包干合同，投标报价应包括投标人完成招标文件约定的所有工作，中标人还应负责与相关单位及政府部门的协调沟通工作，同时在投标总报价中应考虑可能发生应由投标人承担的各项相关费用。</w:t>
      </w:r>
      <w:r>
        <w:rPr>
          <w:rFonts w:hint="eastAsia" w:ascii="宋体" w:hAnsi="宋体"/>
          <w:bCs/>
          <w:color w:val="auto"/>
          <w:sz w:val="24"/>
          <w:highlight w:val="none"/>
        </w:rPr>
        <w:t>总价一经确定，不得更改。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2</w:t>
      </w:r>
      <w:r>
        <w:rPr>
          <w:rFonts w:ascii="宋体" w:hAnsi="宋体"/>
          <w:bCs/>
          <w:color w:val="auto"/>
          <w:sz w:val="24"/>
          <w:highlight w:val="none"/>
        </w:rPr>
        <w:t>投标</w:t>
      </w:r>
      <w:r>
        <w:rPr>
          <w:rFonts w:hint="eastAsia" w:ascii="宋体" w:hAnsi="宋体"/>
          <w:bCs/>
          <w:color w:val="auto"/>
          <w:sz w:val="24"/>
          <w:highlight w:val="none"/>
        </w:rPr>
        <w:t>报价</w:t>
      </w:r>
      <w:r>
        <w:rPr>
          <w:rFonts w:ascii="宋体" w:hAnsi="宋体"/>
          <w:bCs/>
          <w:color w:val="auto"/>
          <w:sz w:val="24"/>
          <w:highlight w:val="none"/>
        </w:rPr>
        <w:t>包含履行投标文件中对服务所承诺的各项内容</w:t>
      </w:r>
      <w:r>
        <w:rPr>
          <w:rFonts w:hint="eastAsia" w:ascii="宋体" w:hAnsi="宋体"/>
          <w:bCs/>
          <w:color w:val="auto"/>
          <w:sz w:val="24"/>
          <w:highlight w:val="none"/>
        </w:rPr>
        <w:t>。</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3</w:t>
      </w:r>
      <w:r>
        <w:rPr>
          <w:rFonts w:ascii="宋体" w:hAnsi="宋体"/>
          <w:bCs/>
          <w:color w:val="auto"/>
          <w:sz w:val="24"/>
          <w:highlight w:val="none"/>
        </w:rPr>
        <w:t>报价时</w:t>
      </w:r>
      <w:r>
        <w:rPr>
          <w:rFonts w:hint="eastAsia" w:ascii="宋体" w:hAnsi="宋体"/>
          <w:bCs/>
          <w:color w:val="auto"/>
          <w:sz w:val="24"/>
          <w:highlight w:val="none"/>
        </w:rPr>
        <w:t>请综合考虑上述因素，报价以人民币为单位。</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．无效的投标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16.1未按规定的投标时间投递投标文件；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16.2投标文件未密封或未按规定加盖印章和签字；</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16.3投标文件未按规定格式填写、缺少招标文件规定的投标内容（营业执照、投标保证金、法人代表授权书、承诺书、投标人资格后审申请书、投标报价表</w:t>
      </w:r>
      <w:r>
        <w:rPr>
          <w:rFonts w:hint="eastAsia" w:ascii="宋体" w:hAnsi="宋体"/>
          <w:bCs/>
          <w:color w:val="auto"/>
          <w:sz w:val="24"/>
          <w:highlight w:val="none"/>
        </w:rPr>
        <w:t>等资料必须合法有效并按规定加盖公章或签字）；</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16.4在投标文件中同一方案有两个及以上报价，并未明确哪个方案的报价为</w:t>
      </w:r>
      <w:r>
        <w:rPr>
          <w:rFonts w:hint="eastAsia" w:ascii="宋体" w:hAnsi="宋体"/>
          <w:bCs/>
          <w:color w:val="auto"/>
          <w:sz w:val="24"/>
          <w:highlight w:val="none"/>
        </w:rPr>
        <w:t>最终的方案报价；</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16.5提供无效的投标保证金；</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16.6</w:t>
      </w:r>
      <w:r>
        <w:rPr>
          <w:rFonts w:hint="eastAsia" w:ascii="宋体" w:hAnsi="宋体"/>
          <w:bCs/>
          <w:color w:val="auto"/>
          <w:sz w:val="24"/>
          <w:highlight w:val="none"/>
        </w:rPr>
        <w:t>投标文件未实质上响应招标文件的或附有招标人不能接受的条件；</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16.7投标人违反评标纪律，干扰评标小组的评标活动的；</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8</w:t>
      </w:r>
      <w:r>
        <w:rPr>
          <w:rFonts w:ascii="宋体" w:hAnsi="宋体"/>
          <w:bCs/>
          <w:color w:val="auto"/>
          <w:sz w:val="24"/>
          <w:highlight w:val="none"/>
        </w:rPr>
        <w:t>投标人之间相互串标，参与串标的各投标人的投标均作废标处理；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9法律规定为无效投标或</w:t>
      </w:r>
      <w:r>
        <w:rPr>
          <w:rFonts w:ascii="宋体" w:hAnsi="宋体"/>
          <w:bCs/>
          <w:color w:val="auto"/>
          <w:sz w:val="24"/>
          <w:highlight w:val="none"/>
        </w:rPr>
        <w:t>其它不符合招标文件要求的投标。</w:t>
      </w:r>
    </w:p>
    <w:p>
      <w:pPr>
        <w:spacing w:line="400" w:lineRule="exact"/>
        <w:ind w:firstLine="360" w:firstLineChars="150"/>
        <w:rPr>
          <w:rFonts w:ascii="宋体" w:hAnsi="宋体"/>
          <w:b/>
          <w:bCs/>
          <w:color w:val="auto"/>
          <w:sz w:val="24"/>
          <w:highlight w:val="none"/>
        </w:rPr>
      </w:pPr>
      <w:r>
        <w:rPr>
          <w:rFonts w:ascii="宋体" w:hAnsi="宋体"/>
          <w:b/>
          <w:bCs/>
          <w:color w:val="auto"/>
          <w:sz w:val="24"/>
          <w:highlight w:val="none"/>
        </w:rPr>
        <w:t xml:space="preserve"> </w:t>
      </w:r>
      <w:r>
        <w:rPr>
          <w:rFonts w:hint="eastAsia" w:ascii="宋体" w:hAnsi="宋体"/>
          <w:b/>
          <w:bCs/>
          <w:color w:val="auto"/>
          <w:sz w:val="24"/>
          <w:highlight w:val="none"/>
        </w:rPr>
        <w:t>五、招标程序与定标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．开标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1开标会议由招标人自行组织。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2由评标小组成员对投标文件的密封情况进行检查。</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．评标</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18.1评标内容和保密</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18.2在投标文件审查、澄清、评价和比较以及授予合同的过程中，投标人对招标人及其他</w:t>
      </w:r>
      <w:r>
        <w:rPr>
          <w:rFonts w:hint="eastAsia" w:ascii="宋体" w:hAnsi="宋体"/>
          <w:bCs/>
          <w:color w:val="auto"/>
          <w:sz w:val="24"/>
          <w:highlight w:val="none"/>
        </w:rPr>
        <w:t>评标小组成员施加影响的任何行为，或其投标文件中存在弄虚作假行为，都将取消投标人投标资格。</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18.3投标文件的澄清</w:t>
      </w:r>
    </w:p>
    <w:p>
      <w:pPr>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为了有助于投标文件的审查、评价和比较，评标小组成员可以个别要求投标人澄清其投标文件，但不允许更改投标报价或投标的实质性内容。</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．评标办法具体内容详第四章评标办法</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六、签订合同</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．中标通知</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20.1评标结束后，评标结果经招标人确认后，招标</w:t>
      </w:r>
      <w:r>
        <w:rPr>
          <w:rFonts w:hint="eastAsia" w:ascii="宋体" w:hAnsi="宋体"/>
          <w:bCs/>
          <w:color w:val="auto"/>
          <w:sz w:val="24"/>
          <w:highlight w:val="none"/>
        </w:rPr>
        <w:t>人在刊登本招标项目招标公告的媒介上对中标结果进行公示，同时按规定向中标人发出中标通知书。中标通知书对招标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招标人提出。</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20.2《中标通知书》将作为签订合同的依据，中标人在接到《中标通知</w:t>
      </w:r>
      <w:r>
        <w:rPr>
          <w:rFonts w:hint="eastAsia" w:ascii="宋体" w:hAnsi="宋体"/>
          <w:bCs/>
          <w:color w:val="auto"/>
          <w:sz w:val="24"/>
          <w:highlight w:val="none"/>
        </w:rPr>
        <w:t>书》后，必须在规定时间内派授权代表到指定地点与招标人签署合同，未经招标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．签订合同</w:t>
      </w:r>
    </w:p>
    <w:p>
      <w:pPr>
        <w:spacing w:line="400" w:lineRule="exact"/>
        <w:ind w:firstLine="480" w:firstLineChars="200"/>
        <w:rPr>
          <w:rFonts w:ascii="宋体" w:hAnsi="宋体"/>
          <w:color w:val="auto"/>
          <w:sz w:val="24"/>
          <w:highlight w:val="none"/>
        </w:rPr>
      </w:pPr>
      <w:r>
        <w:rPr>
          <w:rFonts w:ascii="宋体" w:hAnsi="宋体"/>
          <w:bCs/>
          <w:color w:val="auto"/>
          <w:sz w:val="24"/>
          <w:highlight w:val="none"/>
        </w:rPr>
        <w:t>21.1招标人、中标人在《中标通知书》发出之日起</w:t>
      </w:r>
      <w:r>
        <w:rPr>
          <w:rFonts w:hint="eastAsia" w:ascii="宋体" w:hAnsi="宋体"/>
          <w:bCs/>
          <w:color w:val="auto"/>
          <w:sz w:val="24"/>
          <w:highlight w:val="none"/>
        </w:rPr>
        <w:t>10</w:t>
      </w:r>
      <w:r>
        <w:rPr>
          <w:rFonts w:ascii="宋体" w:hAnsi="宋体"/>
          <w:bCs/>
          <w:color w:val="auto"/>
          <w:sz w:val="24"/>
          <w:highlight w:val="none"/>
        </w:rPr>
        <w:t>日内，根据招标文件确定的事项和中标人投标文件，参照本</w:t>
      </w:r>
      <w:r>
        <w:rPr>
          <w:rFonts w:hint="eastAsia" w:ascii="宋体" w:hAnsi="宋体"/>
          <w:bCs/>
          <w:color w:val="auto"/>
          <w:sz w:val="24"/>
          <w:highlight w:val="none"/>
        </w:rPr>
        <w:t>招标文件第五章的《合同》文本签订合同。双方所签订的合同不得对招标文件和中标人投标文件作实质性修改。</w:t>
      </w:r>
      <w:r>
        <w:rPr>
          <w:rFonts w:hint="eastAsia" w:ascii="宋体" w:hAnsi="宋体"/>
          <w:color w:val="auto"/>
          <w:sz w:val="24"/>
          <w:highlight w:val="none"/>
        </w:rPr>
        <w:t>中标人放弃中标资格的，无正当理由逾期不与招标人签订合同的，或在签订合同时向招标人提出附加条件或者更改合同实质性内容的，招标人可取消其中标资格，并没收其投标保证金；给招标人造成的损失超过投标保证金数额的，中标人还应当对超过部分予以赔偿。</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 xml:space="preserve">21.3招标人在合同履行中，需追加与合同标的相同的货物或者服务的，在不改变合同其他条款的前提下，可与中标人协商签订补充合同。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21.4中标人因不可抗力或者自身原因不能履行合同的，招标人可以与排位在中标人之后第一位的中标候选人签订合同，以此类推。</w:t>
      </w:r>
    </w:p>
    <w:p>
      <w:pPr>
        <w:spacing w:line="400" w:lineRule="exact"/>
        <w:ind w:firstLine="480" w:firstLineChars="200"/>
        <w:rPr>
          <w:rFonts w:ascii="宋体" w:hAnsi="宋体"/>
          <w:bCs/>
          <w:color w:val="auto"/>
          <w:sz w:val="24"/>
          <w:highlight w:val="none"/>
        </w:rPr>
      </w:pPr>
      <w:r>
        <w:rPr>
          <w:rFonts w:ascii="宋体" w:hAnsi="宋体"/>
          <w:bCs/>
          <w:color w:val="auto"/>
          <w:sz w:val="24"/>
          <w:highlight w:val="none"/>
        </w:rPr>
        <w:t>21.5中标人不得将所中标项目进行转包或违法分包</w:t>
      </w:r>
      <w:r>
        <w:rPr>
          <w:rFonts w:hint="eastAsia" w:ascii="宋体" w:hAnsi="宋体"/>
          <w:bCs/>
          <w:color w:val="auto"/>
          <w:sz w:val="24"/>
          <w:highlight w:val="none"/>
        </w:rPr>
        <w:t>。</w:t>
      </w:r>
    </w:p>
    <w:p>
      <w:pPr>
        <w:spacing w:line="400" w:lineRule="exact"/>
        <w:ind w:firstLine="480" w:firstLineChars="200"/>
        <w:rPr>
          <w:rFonts w:hint="eastAsia" w:ascii="宋体" w:hAnsi="宋体"/>
          <w:bCs/>
          <w:color w:val="auto"/>
          <w:sz w:val="24"/>
          <w:highlight w:val="none"/>
        </w:rPr>
      </w:pPr>
      <w:r>
        <w:rPr>
          <w:rFonts w:ascii="宋体" w:hAnsi="宋体"/>
          <w:bCs/>
          <w:color w:val="auto"/>
          <w:sz w:val="24"/>
          <w:highlight w:val="none"/>
        </w:rPr>
        <w:t>21.6未尽事宜在具体项目的合同中规定</w:t>
      </w:r>
      <w:r>
        <w:rPr>
          <w:rFonts w:hint="eastAsia" w:ascii="宋体" w:hAnsi="宋体"/>
          <w:bCs/>
          <w:color w:val="auto"/>
          <w:sz w:val="24"/>
          <w:highlight w:val="none"/>
        </w:rPr>
        <w:t>。</w:t>
      </w:r>
    </w:p>
    <w:p>
      <w:pPr>
        <w:spacing w:line="400" w:lineRule="exact"/>
        <w:ind w:firstLine="480" w:firstLineChars="200"/>
        <w:rPr>
          <w:rFonts w:hint="eastAsia" w:ascii="宋体" w:hAnsi="宋体"/>
          <w:bCs/>
          <w:color w:val="auto"/>
          <w:sz w:val="24"/>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spacing w:before="326" w:beforeLines="100" w:line="420" w:lineRule="exact"/>
        <w:jc w:val="center"/>
        <w:outlineLvl w:val="0"/>
        <w:rPr>
          <w:rFonts w:hint="eastAsia" w:ascii="宋体" w:hAnsi="宋体"/>
          <w:b/>
          <w:color w:val="auto"/>
          <w:kern w:val="36"/>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宋体" w:hAnsi="宋体" w:eastAsia="宋体" w:cs="宋体"/>
          <w:b/>
          <w:bCs/>
          <w:sz w:val="36"/>
          <w:szCs w:val="44"/>
          <w:lang w:val="en-US" w:eastAsia="zh-CN"/>
        </w:rPr>
      </w:pPr>
    </w:p>
    <w:bookmarkEnd w:id="0"/>
    <w:p>
      <w:pPr>
        <w:pStyle w:val="9"/>
        <w:spacing w:line="420" w:lineRule="exact"/>
        <w:ind w:left="0" w:leftChars="0"/>
        <w:jc w:val="center"/>
        <w:outlineLvl w:val="0"/>
        <w:rPr>
          <w:b/>
          <w:bCs/>
          <w:color w:val="auto"/>
          <w:sz w:val="36"/>
          <w:szCs w:val="36"/>
          <w:highlight w:val="none"/>
        </w:rPr>
      </w:pPr>
      <w:bookmarkStart w:id="1" w:name="_Toc480890782"/>
      <w:bookmarkStart w:id="2" w:name="_Toc480299317"/>
      <w:r>
        <w:rPr>
          <w:rFonts w:hint="eastAsia"/>
          <w:b/>
          <w:bCs/>
          <w:color w:val="auto"/>
          <w:sz w:val="36"/>
          <w:szCs w:val="36"/>
          <w:highlight w:val="none"/>
        </w:rPr>
        <w:t>第四章  评标办法</w:t>
      </w:r>
      <w:bookmarkEnd w:id="1"/>
      <w:bookmarkEnd w:id="2"/>
    </w:p>
    <w:p>
      <w:pPr>
        <w:pStyle w:val="9"/>
        <w:spacing w:after="0" w:line="400" w:lineRule="exact"/>
        <w:ind w:left="0" w:leftChars="0" w:firstLine="480" w:firstLineChars="200"/>
        <w:rPr>
          <w:rFonts w:ascii="宋体" w:hAnsi="宋体"/>
          <w:b/>
          <w:bCs/>
          <w:color w:val="auto"/>
          <w:sz w:val="24"/>
          <w:highlight w:val="none"/>
        </w:rPr>
      </w:pPr>
      <w:r>
        <w:rPr>
          <w:rFonts w:hint="eastAsia" w:ascii="宋体" w:hAnsi="宋体"/>
          <w:b/>
          <w:bCs/>
          <w:color w:val="auto"/>
          <w:sz w:val="24"/>
          <w:highlight w:val="none"/>
        </w:rPr>
        <w:t>26.评标定标原则</w:t>
      </w:r>
    </w:p>
    <w:p>
      <w:pPr>
        <w:spacing w:line="400" w:lineRule="exact"/>
        <w:ind w:firstLine="480" w:firstLineChars="200"/>
        <w:rPr>
          <w:rFonts w:ascii="宋体" w:hAnsi="宋体"/>
          <w:color w:val="auto"/>
          <w:sz w:val="24"/>
          <w:highlight w:val="none"/>
        </w:rPr>
      </w:pPr>
      <w:r>
        <w:rPr>
          <w:rFonts w:hint="eastAsia" w:hAnsi="宋体"/>
          <w:color w:val="auto"/>
          <w:sz w:val="24"/>
          <w:highlight w:val="none"/>
        </w:rPr>
        <w:t>评标工作应根据《中华人民共和国招标投标法》和国家、地方面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highlight w:val="none"/>
        </w:rPr>
        <w:t>。</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27.评标办法类型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本工程采用</w:t>
      </w:r>
      <w:r>
        <w:rPr>
          <w:rFonts w:hint="eastAsia" w:ascii="宋体" w:hAnsi="宋体"/>
          <w:b/>
          <w:bCs/>
          <w:color w:val="auto"/>
          <w:sz w:val="24"/>
          <w:highlight w:val="none"/>
        </w:rPr>
        <w:t>综合评分法</w:t>
      </w:r>
      <w:r>
        <w:rPr>
          <w:rFonts w:hint="eastAsia" w:ascii="宋体" w:hAnsi="宋体"/>
          <w:bCs/>
          <w:color w:val="auto"/>
          <w:sz w:val="24"/>
          <w:highlight w:val="none"/>
        </w:rPr>
        <w:t>评标</w:t>
      </w:r>
      <w:r>
        <w:rPr>
          <w:rFonts w:hint="eastAsia" w:ascii="宋体" w:hAnsi="宋体"/>
          <w:color w:val="auto"/>
          <w:sz w:val="24"/>
          <w:highlight w:val="none"/>
        </w:rPr>
        <w:t>。</w:t>
      </w:r>
      <w:r>
        <w:rPr>
          <w:rFonts w:hint="eastAsia" w:ascii="宋体" w:hAnsi="宋体"/>
          <w:bCs/>
          <w:color w:val="auto"/>
          <w:sz w:val="24"/>
          <w:highlight w:val="none"/>
        </w:rPr>
        <w:t>评标定标工作由招标人组织的评标小组进行</w:t>
      </w:r>
      <w:r>
        <w:rPr>
          <w:rFonts w:hint="eastAsia" w:ascii="宋体" w:hAnsi="宋体"/>
          <w:color w:val="auto"/>
          <w:sz w:val="24"/>
          <w:highlight w:val="none"/>
        </w:rPr>
        <w:t>。</w:t>
      </w:r>
    </w:p>
    <w:p>
      <w:pPr>
        <w:pStyle w:val="9"/>
        <w:spacing w:after="0" w:line="400" w:lineRule="exact"/>
        <w:ind w:left="0" w:leftChars="0" w:firstLine="480" w:firstLineChars="200"/>
        <w:rPr>
          <w:rFonts w:ascii="宋体" w:hAnsi="宋体"/>
          <w:b/>
          <w:bCs/>
          <w:color w:val="auto"/>
          <w:sz w:val="24"/>
          <w:highlight w:val="none"/>
        </w:rPr>
      </w:pPr>
      <w:r>
        <w:rPr>
          <w:rFonts w:hint="eastAsia" w:ascii="宋体" w:hAnsi="宋体"/>
          <w:b/>
          <w:bCs/>
          <w:color w:val="auto"/>
          <w:sz w:val="24"/>
          <w:highlight w:val="none"/>
        </w:rPr>
        <w:t>28.评审内容</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.1 </w:t>
      </w:r>
      <w:r>
        <w:rPr>
          <w:rFonts w:hint="eastAsia" w:ascii="宋体" w:hAnsi="宋体"/>
          <w:color w:val="auto"/>
          <w:sz w:val="24"/>
          <w:highlight w:val="none"/>
        </w:rPr>
        <w:t>符合性评审（包括资格审查）；</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.2 </w:t>
      </w:r>
      <w:r>
        <w:rPr>
          <w:rFonts w:hint="eastAsia" w:ascii="宋体" w:hAnsi="宋体"/>
          <w:color w:val="auto"/>
          <w:sz w:val="24"/>
          <w:highlight w:val="none"/>
        </w:rPr>
        <w:t>投标报价；</w:t>
      </w:r>
    </w:p>
    <w:p>
      <w:pPr>
        <w:pStyle w:val="9"/>
        <w:spacing w:after="0" w:line="400" w:lineRule="exact"/>
        <w:ind w:left="0" w:leftChars="0" w:firstLine="480" w:firstLineChars="200"/>
        <w:rPr>
          <w:rFonts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 xml:space="preserve">.3 </w:t>
      </w:r>
      <w:r>
        <w:rPr>
          <w:rFonts w:hint="eastAsia" w:ascii="宋体" w:hAnsi="宋体"/>
          <w:color w:val="auto"/>
          <w:sz w:val="24"/>
          <w:highlight w:val="none"/>
        </w:rPr>
        <w:t>综合评审。</w:t>
      </w:r>
    </w:p>
    <w:p>
      <w:pPr>
        <w:spacing w:line="400" w:lineRule="exact"/>
        <w:ind w:firstLine="480" w:firstLineChars="200"/>
        <w:rPr>
          <w:rFonts w:ascii="宋体" w:hAnsi="宋体"/>
          <w:b/>
          <w:bCs/>
          <w:color w:val="auto"/>
          <w:sz w:val="24"/>
          <w:highlight w:val="none"/>
        </w:rPr>
      </w:pPr>
      <w:r>
        <w:rPr>
          <w:rFonts w:hint="eastAsia" w:ascii="宋体" w:hAnsi="宋体"/>
          <w:b/>
          <w:bCs/>
          <w:color w:val="auto"/>
          <w:sz w:val="24"/>
          <w:highlight w:val="none"/>
        </w:rPr>
        <w:t>29.评审程序</w:t>
      </w:r>
    </w:p>
    <w:p>
      <w:pPr>
        <w:spacing w:line="400" w:lineRule="exact"/>
        <w:ind w:firstLine="480" w:firstLineChars="200"/>
        <w:rPr>
          <w:rFonts w:ascii="宋体" w:hAnsi="宋体"/>
          <w:bCs/>
          <w:color w:val="auto"/>
          <w:sz w:val="24"/>
          <w:highlight w:val="none"/>
        </w:rPr>
      </w:pPr>
      <w:r>
        <w:rPr>
          <w:rFonts w:hint="eastAsia" w:ascii="宋体" w:hAnsi="宋体"/>
          <w:color w:val="auto"/>
          <w:sz w:val="24"/>
          <w:highlight w:val="none"/>
        </w:rPr>
        <w:t>29</w:t>
      </w:r>
      <w:r>
        <w:rPr>
          <w:rFonts w:ascii="宋体" w:hAnsi="宋体"/>
          <w:color w:val="auto"/>
          <w:sz w:val="24"/>
          <w:highlight w:val="none"/>
        </w:rPr>
        <w:t>.1评标</w:t>
      </w:r>
      <w:r>
        <w:rPr>
          <w:rFonts w:hint="eastAsia" w:ascii="宋体" w:hAnsi="宋体"/>
          <w:color w:val="auto"/>
          <w:sz w:val="24"/>
          <w:highlight w:val="none"/>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highlight w:val="none"/>
        </w:rPr>
        <w:t>凡不符合投标资质条件、专业条件要求、报价要求和未实质性响应招标文件要求的投标以及未按招标文件要求的投标格式进行投标的均为废标，不进入评分程序。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.2评标</w:t>
      </w:r>
      <w:r>
        <w:rPr>
          <w:rFonts w:hint="eastAsia" w:ascii="宋体" w:hAnsi="宋体"/>
          <w:color w:val="auto"/>
          <w:sz w:val="24"/>
          <w:highlight w:val="none"/>
        </w:rPr>
        <w:t>小组评委根据招标文件所确定的评标办法对通过符合性评审的投标人进行投标报价及技术、商务因素评分。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29</w:t>
      </w:r>
      <w:r>
        <w:rPr>
          <w:rFonts w:ascii="宋体" w:hAnsi="宋体"/>
          <w:color w:val="auto"/>
          <w:sz w:val="24"/>
          <w:highlight w:val="none"/>
        </w:rPr>
        <w:t>.</w:t>
      </w:r>
      <w:r>
        <w:rPr>
          <w:rFonts w:hint="eastAsia" w:ascii="宋体" w:hAnsi="宋体"/>
          <w:color w:val="auto"/>
          <w:sz w:val="24"/>
          <w:highlight w:val="none"/>
        </w:rPr>
        <w:t>3汇总</w:t>
      </w:r>
      <w:r>
        <w:rPr>
          <w:rFonts w:ascii="宋体" w:hAnsi="宋体"/>
          <w:color w:val="auto"/>
          <w:sz w:val="24"/>
          <w:highlight w:val="none"/>
        </w:rPr>
        <w:t>评标</w:t>
      </w:r>
      <w:r>
        <w:rPr>
          <w:rFonts w:hint="eastAsia" w:ascii="宋体" w:hAnsi="宋体"/>
          <w:color w:val="auto"/>
          <w:sz w:val="24"/>
          <w:highlight w:val="none"/>
        </w:rPr>
        <w:t>小组评委各项评分，统计结果。</w:t>
      </w:r>
    </w:p>
    <w:p>
      <w:pPr>
        <w:widowControl/>
        <w:spacing w:line="400" w:lineRule="exact"/>
        <w:ind w:firstLine="480" w:firstLineChars="200"/>
        <w:jc w:val="left"/>
        <w:rPr>
          <w:rFonts w:ascii="宋体" w:hAnsi="宋体"/>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其他方面要求</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30.1本工程招标文件未尽事宜，按照《中华人民共和国招标投标法》、《福建省招标投标管理办法》等有关法规、规定执行。</w:t>
      </w:r>
    </w:p>
    <w:p>
      <w:pPr>
        <w:spacing w:line="500" w:lineRule="exact"/>
        <w:ind w:firstLine="471" w:firstLineChars="196"/>
        <w:rPr>
          <w:rFonts w:ascii="宋体" w:hAnsi="宋体"/>
          <w:b/>
          <w:color w:val="auto"/>
          <w:sz w:val="24"/>
          <w:highlight w:val="none"/>
        </w:rPr>
      </w:pPr>
      <w:r>
        <w:rPr>
          <w:rFonts w:hint="eastAsia" w:ascii="宋体" w:hAnsi="宋体"/>
          <w:b/>
          <w:color w:val="auto"/>
          <w:sz w:val="24"/>
          <w:highlight w:val="none"/>
        </w:rPr>
        <w:t>31.评审标准</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评分标准的总分为100分，其分值由商务部分（30分）、报价分(70分)组成，评审标准具体如下：</w:t>
      </w:r>
    </w:p>
    <w:p>
      <w:pPr>
        <w:spacing w:before="163" w:beforeLines="50"/>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1、商务部分（分值30分）</w:t>
      </w:r>
    </w:p>
    <w:tbl>
      <w:tblPr>
        <w:tblStyle w:val="15"/>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6"/>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rPr>
              <w:t>企业</w:t>
            </w:r>
            <w:r>
              <w:rPr>
                <w:rFonts w:hint="eastAsia" w:ascii="宋体" w:hAnsi="宋体" w:eastAsia="宋体" w:cs="宋体"/>
                <w:color w:val="auto"/>
                <w:kern w:val="0"/>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40" w:lineRule="exact"/>
              <w:rPr>
                <w:rFonts w:hint="eastAsia" w:ascii="宋体" w:hAnsi="宋体" w:eastAsia="宋体" w:cs="宋体"/>
                <w:color w:val="auto"/>
                <w:kern w:val="0"/>
                <w:sz w:val="24"/>
                <w:highlight w:val="none"/>
              </w:rPr>
            </w:pPr>
            <w:r>
              <w:rPr>
                <w:rFonts w:hint="eastAsia" w:ascii="宋体" w:hAnsi="宋体"/>
                <w:color w:val="auto"/>
                <w:sz w:val="24"/>
                <w:highlight w:val="none"/>
              </w:rPr>
              <w:t>投标人具有</w:t>
            </w:r>
            <w:r>
              <w:rPr>
                <w:rFonts w:hint="eastAsia" w:ascii="宋体" w:hAnsi="宋体"/>
                <w:color w:val="auto"/>
                <w:sz w:val="24"/>
                <w:highlight w:val="none"/>
                <w:lang w:bidi="ar"/>
              </w:rPr>
              <w:t>房屋建筑工程施工总承包叁级</w:t>
            </w:r>
            <w:r>
              <w:rPr>
                <w:rFonts w:hint="eastAsia" w:ascii="宋体" w:hAnsi="宋体"/>
                <w:color w:val="auto"/>
                <w:sz w:val="24"/>
                <w:highlight w:val="none"/>
              </w:rPr>
              <w:t>的</w:t>
            </w:r>
            <w:r>
              <w:rPr>
                <w:rFonts w:hint="eastAsia" w:ascii="宋体" w:hAnsi="宋体" w:eastAsia="宋体" w:cs="宋体"/>
                <w:color w:val="auto"/>
                <w:kern w:val="0"/>
                <w:sz w:val="24"/>
                <w:highlight w:val="none"/>
              </w:rPr>
              <w:t>得7分；</w:t>
            </w:r>
          </w:p>
          <w:p>
            <w:pPr>
              <w:spacing w:line="340" w:lineRule="exact"/>
              <w:rPr>
                <w:rFonts w:hint="eastAsia" w:ascii="宋体" w:hAnsi="宋体" w:eastAsia="宋体" w:cs="宋体"/>
                <w:color w:val="auto"/>
                <w:kern w:val="0"/>
                <w:sz w:val="24"/>
                <w:highlight w:val="none"/>
              </w:rPr>
            </w:pPr>
            <w:r>
              <w:rPr>
                <w:rFonts w:hint="eastAsia" w:ascii="宋体" w:hAnsi="宋体"/>
                <w:color w:val="auto"/>
                <w:sz w:val="24"/>
                <w:highlight w:val="none"/>
              </w:rPr>
              <w:t>说明：</w:t>
            </w:r>
            <w:r>
              <w:rPr>
                <w:rFonts w:hint="eastAsia" w:ascii="宋体" w:hAnsi="宋体" w:eastAsia="宋体" w:cs="宋体"/>
                <w:color w:val="auto"/>
                <w:kern w:val="0"/>
                <w:sz w:val="24"/>
                <w:highlight w:val="none"/>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kern w:val="0"/>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类似工程项目业绩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19"/>
              <w:spacing w:line="340" w:lineRule="exact"/>
              <w:ind w:firstLineChars="200"/>
              <w:jc w:val="left"/>
              <w:rPr>
                <w:rFonts w:hint="eastAsia"/>
                <w:color w:val="auto"/>
                <w:highlight w:val="none"/>
              </w:rPr>
            </w:pPr>
            <w:r>
              <w:rPr>
                <w:rFonts w:hint="eastAsia"/>
                <w:color w:val="auto"/>
                <w:highlight w:val="none"/>
              </w:rPr>
              <w:t>投标人近三年来（自2020年2月1日起至投标截止时间，以下条款同）承接过合同金额200万元及以上房屋建筑工程施工业绩且验收合格的，提供一项目业绩的得3分，本小项最高得6分。</w:t>
            </w:r>
          </w:p>
          <w:p>
            <w:pPr>
              <w:pStyle w:val="19"/>
              <w:spacing w:line="340" w:lineRule="exact"/>
              <w:ind w:firstLineChars="200"/>
              <w:jc w:val="left"/>
              <w:rPr>
                <w:rFonts w:hint="eastAsia"/>
                <w:color w:val="auto"/>
                <w:highlight w:val="none"/>
              </w:rPr>
            </w:pPr>
          </w:p>
          <w:p>
            <w:pPr>
              <w:spacing w:line="500" w:lineRule="exact"/>
              <w:ind w:firstLine="420" w:firstLineChars="200"/>
              <w:rPr>
                <w:rFonts w:hint="eastAsia"/>
                <w:color w:val="auto"/>
                <w:highlight w:val="none"/>
              </w:rPr>
            </w:pPr>
            <w:r>
              <w:rPr>
                <w:rFonts w:hint="eastAsia"/>
                <w:color w:val="auto"/>
                <w:highlight w:val="none"/>
              </w:rPr>
              <w:t>投标人应当提供施工合同、验收报告复印件（须加盖公章）等证明材料。</w:t>
            </w:r>
          </w:p>
          <w:p>
            <w:pPr>
              <w:pStyle w:val="14"/>
              <w:spacing w:line="500" w:lineRule="exact"/>
              <w:ind w:left="0" w:firstLine="480"/>
              <w:rPr>
                <w:rFonts w:hint="eastAsia"/>
                <w:color w:val="auto"/>
                <w:highlight w:val="none"/>
              </w:rPr>
            </w:pPr>
            <w:r>
              <w:rPr>
                <w:rFonts w:hint="eastAsia"/>
                <w:color w:val="auto"/>
                <w:highlight w:val="none"/>
              </w:rPr>
              <w:t>说明：类似工程业绩仅指与本次招标范围相符的内容，主要为房屋建筑工程施工。若合同、验收报告等文件无法证明类似工程业绩金额是否与本次招标内容相符，乙方应提供工程量清单、预算或结算单等能够证明类似工程符合要求的相关资料。</w:t>
            </w:r>
          </w:p>
          <w:p>
            <w:pPr>
              <w:spacing w:line="340" w:lineRule="exact"/>
              <w:ind w:firstLine="420" w:firstLineChars="200"/>
              <w:rPr>
                <w:rFonts w:hint="eastAsia"/>
                <w:color w:val="auto"/>
                <w:highlight w:val="none"/>
              </w:rPr>
            </w:pPr>
            <w:r>
              <w:rPr>
                <w:rFonts w:hint="eastAsia"/>
                <w:color w:val="auto"/>
                <w:highlight w:val="none"/>
              </w:rPr>
              <w:t>投标人应自行区分业绩对应的类别并对号入座，但所有业绩均不重复计算得分。</w:t>
            </w:r>
          </w:p>
          <w:p>
            <w:pPr>
              <w:pStyle w:val="14"/>
              <w:ind w:firstLine="480"/>
              <w:rPr>
                <w:rFonts w:hint="eastAsia" w:ascii="宋体" w:hAnsi="宋体"/>
                <w:color w:val="auto"/>
                <w:szCs w:val="24"/>
                <w:highlight w:val="none"/>
              </w:rPr>
            </w:pPr>
          </w:p>
          <w:p>
            <w:pPr>
              <w:pStyle w:val="14"/>
              <w:ind w:firstLine="480"/>
              <w:rPr>
                <w:rFonts w:hint="eastAsia" w:ascii="宋体" w:hAnsi="宋体"/>
                <w:color w:val="auto"/>
                <w:szCs w:val="24"/>
                <w:highlight w:val="none"/>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ind w:firstLine="420" w:firstLineChars="200"/>
              <w:rPr>
                <w:rFonts w:hint="eastAsia"/>
                <w:color w:val="auto"/>
                <w:highlight w:val="none"/>
              </w:rPr>
            </w:pPr>
            <w:r>
              <w:rPr>
                <w:rFonts w:hint="eastAsia"/>
                <w:color w:val="auto"/>
                <w:highlight w:val="none"/>
              </w:rPr>
              <w:t>根据投标人对本工程：</w:t>
            </w:r>
          </w:p>
          <w:p>
            <w:pPr>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rPr>
              <w:t>承诺提供进度计划和各阶段进度、质量保证措施；</w:t>
            </w:r>
          </w:p>
          <w:p>
            <w:pPr>
              <w:ind w:firstLine="420" w:firstLineChars="200"/>
              <w:rPr>
                <w:rFonts w:hint="eastAsia"/>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rPr>
              <w:t>在发包人要求工期的基础上每增加1个日历日扣减2分，至本项得分扣完为止。</w:t>
            </w:r>
          </w:p>
          <w:p>
            <w:pPr>
              <w:pStyle w:val="14"/>
              <w:ind w:firstLine="480"/>
              <w:rPr>
                <w:rFonts w:hint="eastAsia" w:ascii="宋体" w:hAnsi="宋体" w:eastAsia="宋体" w:cs="宋体"/>
                <w:color w:val="auto"/>
                <w:kern w:val="2"/>
                <w:szCs w:val="24"/>
                <w:highlight w:val="none"/>
              </w:rPr>
            </w:pPr>
          </w:p>
        </w:tc>
        <w:tc>
          <w:tcPr>
            <w:tcW w:w="940" w:type="dxa"/>
            <w:vMerge w:val="continue"/>
            <w:tcBorders>
              <w:left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ind w:firstLine="420" w:firstLineChars="200"/>
              <w:rPr>
                <w:rFonts w:hint="eastAsia"/>
                <w:color w:val="auto"/>
                <w:highlight w:val="none"/>
              </w:rPr>
            </w:pPr>
            <w:r>
              <w:rPr>
                <w:rFonts w:hint="eastAsia"/>
                <w:color w:val="auto"/>
                <w:highlight w:val="none"/>
              </w:rPr>
              <w:t>投标人承诺的保修期高于招标文件要求达30个月的得1.5分，在此基础上每再增加6个月加1.5分（如保修期增加的月数不足6个月的不予加分），达48个月及以上的得7分，低于30个月的不得分。本项最高得7分，未提供承诺的不得分。</w:t>
            </w: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p>
            <w:pPr>
              <w:pStyle w:val="14"/>
              <w:ind w:firstLine="480"/>
              <w:rPr>
                <w:rFonts w:hint="eastAsia"/>
                <w:color w:val="auto"/>
                <w:highlight w:val="none"/>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spacing w:line="400" w:lineRule="exact"/>
              <w:rPr>
                <w:rFonts w:hint="eastAsia" w:ascii="宋体" w:hAnsi="宋体" w:eastAsia="宋体" w:cs="宋体"/>
                <w:color w:val="auto"/>
                <w:sz w:val="24"/>
                <w:highlight w:val="none"/>
              </w:rPr>
            </w:pPr>
          </w:p>
        </w:tc>
      </w:tr>
    </w:tbl>
    <w:p>
      <w:pPr>
        <w:ind w:firstLine="480" w:firstLineChars="200"/>
        <w:rPr>
          <w:rFonts w:hint="eastAsia" w:ascii="宋体" w:hAnsi="宋体" w:eastAsia="宋体" w:cs="宋体"/>
          <w:color w:val="auto"/>
          <w:sz w:val="24"/>
          <w:highlight w:val="none"/>
        </w:rPr>
      </w:pPr>
    </w:p>
    <w:p>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3、报价部分（分值70分）</w:t>
      </w:r>
    </w:p>
    <w:tbl>
      <w:tblPr>
        <w:tblStyle w:val="15"/>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序号</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类别</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满分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评审内容</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jc w:val="center"/>
              <w:rPr>
                <w:rFonts w:ascii="宋体;SimSun" w:hAnsi="宋体;SimSun" w:cs="宋体;SimSun"/>
                <w:b/>
                <w:bCs/>
                <w:color w:val="auto"/>
                <w:sz w:val="24"/>
                <w:highlight w:val="none"/>
              </w:rPr>
            </w:pPr>
            <w:r>
              <w:rPr>
                <w:rFonts w:hint="eastAsia" w:ascii="宋体" w:hAnsi="宋体" w:eastAsia="宋体" w:cs="宋体"/>
                <w:b/>
                <w:bCs/>
                <w:color w:val="auto"/>
                <w:sz w:val="24"/>
                <w:highlight w:val="none"/>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16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宋体" w:hAnsi="宋体" w:eastAsia="宋体" w:cs="宋体"/>
                <w:color w:val="auto"/>
                <w:kern w:val="0"/>
                <w:sz w:val="24"/>
                <w:highlight w:val="none"/>
              </w:rPr>
              <w:t>报价分</w:t>
            </w:r>
          </w:p>
        </w:tc>
        <w:tc>
          <w:tcPr>
            <w:tcW w:w="800" w:type="dxa"/>
            <w:tcBorders>
              <w:top w:val="single" w:color="000000" w:sz="4" w:space="0"/>
              <w:left w:val="single" w:color="000000" w:sz="4" w:space="0"/>
              <w:bottom w:val="single" w:color="000000" w:sz="4" w:space="0"/>
            </w:tcBorders>
            <w:noWrap w:val="0"/>
            <w:tcMar>
              <w:left w:w="103" w:type="dxa"/>
            </w:tcMar>
            <w:vAlign w:val="center"/>
          </w:tcPr>
          <w:p>
            <w:pPr>
              <w:jc w:val="center"/>
              <w:rPr>
                <w:rFonts w:hint="eastAsia" w:ascii="仿宋_GB2312" w:hAnsi="宋体" w:eastAsia="仿宋_GB2312"/>
                <w:color w:val="auto"/>
                <w:sz w:val="24"/>
                <w:highlight w:val="none"/>
              </w:rPr>
            </w:pPr>
            <w:r>
              <w:rPr>
                <w:rFonts w:hint="eastAsia" w:ascii="宋体" w:hAnsi="宋体" w:eastAsia="宋体" w:cs="宋体"/>
                <w:color w:val="auto"/>
                <w:kern w:val="0"/>
                <w:sz w:val="24"/>
                <w:highlight w:val="none"/>
              </w:rPr>
              <w:t>70分</w:t>
            </w:r>
          </w:p>
        </w:tc>
        <w:tc>
          <w:tcPr>
            <w:tcW w:w="5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36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合格投标人的最低报价为基准，最低报价得满分。</w:t>
            </w:r>
          </w:p>
          <w:p>
            <w:pPr>
              <w:spacing w:line="360" w:lineRule="exact"/>
              <w:rPr>
                <w:rFonts w:hint="eastAsia" w:ascii="宋体" w:hAnsi="宋体"/>
                <w:color w:val="auto"/>
                <w:kern w:val="0"/>
                <w:sz w:val="24"/>
                <w:highlight w:val="none"/>
              </w:rPr>
            </w:pPr>
            <w:r>
              <w:rPr>
                <w:rFonts w:hint="eastAsia" w:ascii="宋体" w:hAnsi="宋体"/>
                <w:color w:val="auto"/>
                <w:kern w:val="0"/>
                <w:sz w:val="24"/>
                <w:highlight w:val="none"/>
              </w:rPr>
              <w:t>价格每高出报价2万扣减1分。</w:t>
            </w:r>
          </w:p>
          <w:p>
            <w:pPr>
              <w:spacing w:line="360" w:lineRule="exact"/>
              <w:ind w:firstLine="480" w:firstLineChars="200"/>
              <w:rPr>
                <w:rFonts w:hint="eastAsia" w:ascii="宋体"/>
                <w:b/>
                <w:color w:val="auto"/>
                <w:sz w:val="24"/>
                <w:highlight w:val="none"/>
              </w:rPr>
            </w:pPr>
            <w:r>
              <w:rPr>
                <w:rFonts w:hint="eastAsia" w:ascii="宋体" w:hAnsi="宋体"/>
                <w:color w:val="auto"/>
                <w:kern w:val="0"/>
                <w:sz w:val="24"/>
                <w:highlight w:val="none"/>
              </w:rPr>
              <w:t>说明：上述计算结果留小数点后二位，小数点后三位“四舍五入”。</w:t>
            </w:r>
          </w:p>
        </w:tc>
        <w:tc>
          <w:tcPr>
            <w:tcW w:w="95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rPr>
                <w:rFonts w:hint="eastAsia" w:ascii="仿宋_GB2312" w:hAnsi="宋体" w:eastAsia="仿宋_GB2312"/>
                <w:color w:val="auto"/>
                <w:sz w:val="24"/>
                <w:highlight w:val="none"/>
              </w:rPr>
            </w:pPr>
          </w:p>
        </w:tc>
      </w:tr>
    </w:tbl>
    <w:p>
      <w:pPr>
        <w:pStyle w:val="14"/>
        <w:ind w:firstLine="480"/>
        <w:rPr>
          <w:rFonts w:hint="eastAsia"/>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32.1.1各投标人综合得分 =（商务分+报价分）。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32.1.2评委评审打分、计分过程中各项分数均取小数点后两位，小数点后第三位四舍五入。根据各评委的打分结果，在计算投标人商务综合得分时，对评委的商务部分的打分结果分别汇总，再进行算术平均，计算出各有效投标人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评标小组评委依据综合得分高低顺序依次确定中标候选人，评分以综合得分最高者作为第一中标候选人。如果出现并列综合得分最高，则确定价格较低者排名在前；价格报价仍相同时则采用抽签方式现场确定中标候选人。</w:t>
      </w:r>
    </w:p>
    <w:p>
      <w:pPr>
        <w:spacing w:line="360" w:lineRule="auto"/>
        <w:ind w:firstLine="480" w:firstLineChars="200"/>
        <w:rPr>
          <w:rFonts w:hint="eastAsia" w:ascii="宋体" w:hAnsi="宋体" w:eastAsia="宋体" w:cs="宋体"/>
          <w:color w:val="auto"/>
          <w:sz w:val="24"/>
          <w:highlight w:val="none"/>
        </w:rPr>
        <w:sectPr>
          <w:footerReference r:id="rId5" w:type="default"/>
          <w:pgSz w:w="11906" w:h="16838"/>
          <w:pgMar w:top="1418" w:right="1134" w:bottom="1701" w:left="1134" w:header="720" w:footer="720" w:gutter="0"/>
          <w:cols w:space="720" w:num="1"/>
          <w:docGrid w:type="lines" w:linePitch="326" w:charSpace="0"/>
        </w:sectPr>
      </w:pPr>
      <w:r>
        <w:rPr>
          <w:rFonts w:hint="eastAsia" w:ascii="宋体" w:hAnsi="宋体" w:eastAsia="宋体" w:cs="宋体"/>
          <w:color w:val="auto"/>
          <w:sz w:val="24"/>
          <w:highlight w:val="none"/>
        </w:rPr>
        <w:t>32.3中标人因不可抗力或者自身原因放弃中标资格或者不能履行合同的，招标人可取消其中标资格，并没收其投标保证金；给招标人造成的损失超过投标保证金数额的，中标人还应当对超过部分予以赔偿。同时，招标人可以视情况与排位在中标人之后第一位的中标候选人签订合同，以此类推。</w:t>
      </w:r>
    </w:p>
    <w:p>
      <w:pPr>
        <w:rPr>
          <w:rFonts w:hint="eastAsia" w:ascii="宋体" w:hAnsi="宋体" w:eastAsia="宋体" w:cs="宋体"/>
          <w:spacing w:val="0"/>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021358C1"/>
    <w:rsid w:val="08966904"/>
    <w:rsid w:val="091A12E3"/>
    <w:rsid w:val="0B467739"/>
    <w:rsid w:val="0DFE7BE7"/>
    <w:rsid w:val="0F3D3F7D"/>
    <w:rsid w:val="12F47048"/>
    <w:rsid w:val="13D12EE6"/>
    <w:rsid w:val="156C09C4"/>
    <w:rsid w:val="164E4CC1"/>
    <w:rsid w:val="168801D3"/>
    <w:rsid w:val="17BD5C5B"/>
    <w:rsid w:val="1B8B033A"/>
    <w:rsid w:val="1CC950A2"/>
    <w:rsid w:val="1DE7071D"/>
    <w:rsid w:val="1F7D5EC8"/>
    <w:rsid w:val="20344176"/>
    <w:rsid w:val="220B7F0B"/>
    <w:rsid w:val="24B0076C"/>
    <w:rsid w:val="2B3E4EAD"/>
    <w:rsid w:val="2EB060C2"/>
    <w:rsid w:val="316118F5"/>
    <w:rsid w:val="34B80A1C"/>
    <w:rsid w:val="34E13436"/>
    <w:rsid w:val="355E51BA"/>
    <w:rsid w:val="37D15D8E"/>
    <w:rsid w:val="381A25FE"/>
    <w:rsid w:val="3A465B2C"/>
    <w:rsid w:val="3D5F318D"/>
    <w:rsid w:val="3E7F160D"/>
    <w:rsid w:val="3FFB32A1"/>
    <w:rsid w:val="41016309"/>
    <w:rsid w:val="470B38DB"/>
    <w:rsid w:val="4B667DDC"/>
    <w:rsid w:val="50F8687A"/>
    <w:rsid w:val="57D12A81"/>
    <w:rsid w:val="580812BD"/>
    <w:rsid w:val="59A321FB"/>
    <w:rsid w:val="59CE54CA"/>
    <w:rsid w:val="59D36CA8"/>
    <w:rsid w:val="5E4F2952"/>
    <w:rsid w:val="62590C84"/>
    <w:rsid w:val="63722885"/>
    <w:rsid w:val="638C0E26"/>
    <w:rsid w:val="64D67956"/>
    <w:rsid w:val="64EF2799"/>
    <w:rsid w:val="6A3D3FA6"/>
    <w:rsid w:val="6DAC56CB"/>
    <w:rsid w:val="6F1E43A6"/>
    <w:rsid w:val="714D4ACF"/>
    <w:rsid w:val="737C78ED"/>
    <w:rsid w:val="7D851A94"/>
    <w:rsid w:val="7F1676BF"/>
    <w:rsid w:val="7FC7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5">
    <w:name w:val="Normal Indent"/>
    <w:basedOn w:val="1"/>
    <w:qFormat/>
    <w:uiPriority w:val="0"/>
    <w:pPr>
      <w:ind w:firstLine="420"/>
    </w:pPr>
    <w:rPr>
      <w:rFonts w:ascii="Times New Roman" w:hAnsi="Times New Roman"/>
      <w:kern w:val="0"/>
      <w:sz w:val="20"/>
      <w:szCs w:val="20"/>
    </w:rPr>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qFormat/>
    <w:uiPriority w:val="0"/>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next w:val="13"/>
    <w:qFormat/>
    <w:uiPriority w:val="0"/>
    <w:pPr>
      <w:spacing w:line="312" w:lineRule="auto"/>
      <w:ind w:firstLine="420"/>
    </w:pPr>
  </w:style>
  <w:style w:type="paragraph" w:customStyle="1" w:styleId="13">
    <w:name w:val="_正文"/>
    <w:basedOn w:val="1"/>
    <w:qFormat/>
    <w:uiPriority w:val="0"/>
    <w:pPr>
      <w:spacing w:line="360" w:lineRule="auto"/>
      <w:ind w:firstLine="200" w:firstLineChars="200"/>
    </w:pPr>
    <w:rPr>
      <w:sz w:val="24"/>
      <w:szCs w:val="24"/>
    </w:rPr>
  </w:style>
  <w:style w:type="paragraph" w:styleId="14">
    <w:name w:val="Body Text First Indent 2"/>
    <w:basedOn w:val="8"/>
    <w:qFormat/>
    <w:uiPriority w:val="0"/>
    <w:pPr>
      <w:widowControl/>
      <w:spacing w:after="0"/>
      <w:ind w:left="450" w:leftChars="0" w:firstLine="420" w:firstLineChars="200"/>
      <w:jc w:val="left"/>
    </w:pPr>
    <w:rPr>
      <w:rFonts w:ascii="Calibri" w:hAnsi="Calibri"/>
      <w:kern w:val="0"/>
      <w:sz w:val="24"/>
      <w:szCs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styleId="19">
    <w:name w:val="List Paragraph"/>
    <w:basedOn w:val="1"/>
    <w:qFormat/>
    <w:uiPriority w:val="99"/>
    <w:pPr>
      <w:ind w:firstLine="420" w:firstLineChars="200"/>
    </w:pPr>
  </w:style>
  <w:style w:type="character" w:customStyle="1" w:styleId="20">
    <w:name w:val="font11"/>
    <w:basedOn w:val="17"/>
    <w:qFormat/>
    <w:uiPriority w:val="0"/>
    <w:rPr>
      <w:rFonts w:hint="default" w:ascii="Times New Roman" w:hAnsi="Times New Roman" w:cs="Times New Roman"/>
      <w:color w:val="000000"/>
      <w:sz w:val="24"/>
      <w:szCs w:val="24"/>
      <w:u w:val="none"/>
    </w:rPr>
  </w:style>
  <w:style w:type="paragraph" w:customStyle="1" w:styleId="21">
    <w:name w:val="正文_2_0"/>
    <w:basedOn w:val="22"/>
    <w:next w:val="23"/>
    <w:qFormat/>
    <w:uiPriority w:val="0"/>
    <w:rPr>
      <w:rFonts w:cs="Calibri"/>
      <w:szCs w:val="21"/>
    </w:rPr>
  </w:style>
  <w:style w:type="paragraph" w:customStyle="1" w:styleId="22">
    <w:name w:val="正文_2"/>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6264</Words>
  <Characters>6595</Characters>
  <Lines>0</Lines>
  <Paragraphs>0</Paragraphs>
  <TotalTime>0</TotalTime>
  <ScaleCrop>false</ScaleCrop>
  <LinksUpToDate>false</LinksUpToDate>
  <CharactersWithSpaces>6617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2023-03-06T06:16:25Z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084D9C357DE1492FAF4F84E2B4CE83BD</vt:lpwstr>
  </property>
</Properties>
</file>