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9" w:lineRule="auto"/>
        <w:rPr>
          <w:rFonts w:ascii="黑体"/>
        </w:rPr>
      </w:pP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1、</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p>
    <w:p>
      <w:pPr>
        <w:pStyle w:val="5"/>
        <w:spacing w:line="360" w:lineRule="auto"/>
      </w:pPr>
      <w:r>
        <w:rPr>
          <w:rFonts w:hint="eastAsia"/>
        </w:rPr>
        <w:t>投标人应满足以下要求：</w:t>
      </w:r>
    </w:p>
    <w:p>
      <w:pPr>
        <w:pStyle w:val="23"/>
        <w:numPr>
          <w:ilvl w:val="0"/>
          <w:numId w:val="1"/>
        </w:numPr>
        <w:kinsoku/>
        <w:spacing w:line="360" w:lineRule="auto"/>
        <w:ind w:left="0" w:firstLine="424" w:firstLineChars="177"/>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铸件材质牌号HT250和牌号QT500-7。其余参考机械行业标准JB/T3997-2001执行。模具采用消失模浇铸，铸件浇注前铸造铁水应进行国家标准规定的相应检测以确保铸件化学成分。铸件浇铸完成后，供方应及时将铁水材质化验报告及浇注试样提供给甲方。甲方验收产品零件时，供方应向需方提供所有铸件相对应的化学成份化验报告和铸件硬度检测报告、铸件试样机械性能检测报告及尺寸检测报告，导轨表面的硬度必须在HB180~200之间。如无法完整提供上述资料，需方有权不予验收。</w:t>
      </w:r>
    </w:p>
    <w:p>
      <w:pPr>
        <w:pStyle w:val="23"/>
        <w:numPr>
          <w:ilvl w:val="0"/>
          <w:numId w:val="1"/>
        </w:numPr>
        <w:kinsoku/>
        <w:spacing w:line="360" w:lineRule="auto"/>
        <w:ind w:left="0" w:firstLine="424" w:firstLineChars="177"/>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铸件表面应平整，不得有砂眼、气孔、夹、冷隔、裂纹等铸造缺陷，铸件不得有缩松，尤其是导轨平面不允许有任何铸造缺陷，如砂眼、砂孔、裂纹、夹砂、冷隔及缩松，铸件必须清砂干净并按国家标准进行相应打磨。其余参考国际标准IS185:1988E执行。若供方制造铸件无法达到需方技术要求，需方有权不给予验收，并要求供方重新制造，由此产生的相应损失由供方承担。</w:t>
      </w:r>
    </w:p>
    <w:p>
      <w:pPr>
        <w:pStyle w:val="23"/>
        <w:numPr>
          <w:ilvl w:val="0"/>
          <w:numId w:val="1"/>
        </w:numPr>
        <w:kinsoku/>
        <w:spacing w:line="360" w:lineRule="auto"/>
        <w:ind w:left="0" w:firstLine="424" w:firstLineChars="177"/>
        <w:rPr>
          <w:rFonts w:hint="eastAsia" w:cs="宋体" w:asciiTheme="majorEastAsia" w:hAnsiTheme="majorEastAsia" w:eastAsiaTheme="majorEastAsia"/>
          <w:snapToGrid w:val="0"/>
          <w:color w:val="000000"/>
          <w:sz w:val="24"/>
          <w:szCs w:val="24"/>
          <w:lang w:val="en-US" w:eastAsia="zh-CN" w:bidi="ar-SA"/>
        </w:rPr>
      </w:pPr>
      <w:r>
        <w:rPr>
          <w:rFonts w:hint="eastAsia" w:cs="宋体" w:asciiTheme="majorEastAsia" w:hAnsiTheme="majorEastAsia" w:eastAsiaTheme="majorEastAsia"/>
          <w:sz w:val="24"/>
          <w:szCs w:val="24"/>
          <w:lang w:val="en-US" w:eastAsia="zh-CN"/>
        </w:rPr>
        <w:t>铸件必须进行一次退火热时效处理，退火处理严格按国家及行业有关大型铸件退火工艺标准及规范处理，铸件清砂完成后第一次退火处理时，应通知甲方人员对退火过程进行监督。</w:t>
      </w:r>
    </w:p>
    <w:p>
      <w:pPr>
        <w:pStyle w:val="23"/>
        <w:numPr>
          <w:ilvl w:val="0"/>
          <w:numId w:val="1"/>
        </w:numPr>
        <w:kinsoku/>
        <w:spacing w:line="360" w:lineRule="auto"/>
        <w:ind w:left="0" w:firstLine="424" w:firstLineChars="177"/>
        <w:rPr>
          <w:rFonts w:hint="eastAsia" w:cs="宋体" w:asciiTheme="majorEastAsia" w:hAnsiTheme="majorEastAsia" w:eastAsiaTheme="majorEastAsia"/>
          <w:snapToGrid w:val="0"/>
          <w:color w:val="000000"/>
          <w:sz w:val="24"/>
          <w:szCs w:val="24"/>
          <w:lang w:val="en-US" w:eastAsia="zh-CN" w:bidi="ar-SA"/>
        </w:rPr>
      </w:pPr>
      <w:r>
        <w:rPr>
          <w:rFonts w:hint="eastAsia" w:cs="宋体" w:asciiTheme="majorEastAsia" w:hAnsiTheme="majorEastAsia" w:eastAsiaTheme="majorEastAsia"/>
          <w:snapToGrid w:val="0"/>
          <w:color w:val="000000"/>
          <w:sz w:val="24"/>
          <w:szCs w:val="24"/>
          <w:lang w:val="en-US" w:eastAsia="zh-CN" w:bidi="ar-SA"/>
        </w:rPr>
        <w:t>要求粗加工部件如需进行二次退火零件，按图纸进行二次退火。</w:t>
      </w:r>
    </w:p>
    <w:p>
      <w:pPr>
        <w:pStyle w:val="23"/>
        <w:numPr>
          <w:ilvl w:val="0"/>
          <w:numId w:val="1"/>
        </w:numPr>
        <w:kinsoku/>
        <w:spacing w:line="360" w:lineRule="auto"/>
        <w:ind w:left="0" w:firstLine="424" w:firstLineChars="177"/>
        <w:rPr>
          <w:rFonts w:hint="eastAsia" w:cs="宋体" w:asciiTheme="majorEastAsia" w:hAnsiTheme="majorEastAsia" w:eastAsiaTheme="majorEastAsia"/>
          <w:snapToGrid w:val="0"/>
          <w:color w:val="000000"/>
          <w:sz w:val="24"/>
          <w:szCs w:val="24"/>
          <w:lang w:val="en-US" w:eastAsia="zh-CN" w:bidi="ar-SA"/>
        </w:rPr>
      </w:pPr>
      <w:r>
        <w:rPr>
          <w:rFonts w:hint="eastAsia" w:cs="宋体" w:asciiTheme="majorEastAsia" w:hAnsiTheme="majorEastAsia" w:eastAsiaTheme="majorEastAsia"/>
          <w:snapToGrid w:val="0"/>
          <w:color w:val="000000"/>
          <w:sz w:val="24"/>
          <w:szCs w:val="24"/>
          <w:lang w:val="en-US" w:eastAsia="zh-CN" w:bidi="ar-SA"/>
        </w:rPr>
        <w:t>粗加工精度要求平面尺寸单边余量小件2~3mm、大件2~5mm以内，粗加工精度要求外圆、内孔直径尺寸余量5mm以内。</w:t>
      </w:r>
    </w:p>
    <w:p>
      <w:pPr>
        <w:pStyle w:val="23"/>
        <w:numPr>
          <w:ilvl w:val="0"/>
          <w:numId w:val="1"/>
        </w:numPr>
        <w:kinsoku/>
        <w:spacing w:line="360" w:lineRule="auto"/>
        <w:ind w:left="0" w:firstLine="424" w:firstLineChars="177"/>
        <w:rPr>
          <w:rFonts w:hint="eastAsia" w:cs="宋体" w:asciiTheme="majorEastAsia" w:hAnsiTheme="majorEastAsia" w:eastAsiaTheme="majorEastAsia"/>
          <w:snapToGrid w:val="0"/>
          <w:color w:val="000000"/>
          <w:sz w:val="24"/>
          <w:szCs w:val="24"/>
          <w:lang w:val="en-US" w:eastAsia="zh-CN" w:bidi="ar-SA"/>
        </w:rPr>
      </w:pPr>
      <w:r>
        <w:rPr>
          <w:rFonts w:hint="eastAsia" w:cs="宋体" w:asciiTheme="majorEastAsia" w:hAnsiTheme="majorEastAsia" w:eastAsiaTheme="majorEastAsia"/>
          <w:snapToGrid w:val="0"/>
          <w:color w:val="000000"/>
          <w:sz w:val="24"/>
          <w:szCs w:val="24"/>
          <w:lang w:val="en-US" w:eastAsia="zh-CN" w:bidi="ar-SA"/>
        </w:rPr>
        <w:t>铸件实际重量不超过理论重量的10%</w:t>
      </w:r>
    </w:p>
    <w:p>
      <w:pPr>
        <w:pStyle w:val="5"/>
        <w:numPr>
          <w:ilvl w:val="0"/>
          <w:numId w:val="0"/>
        </w:numPr>
        <w:kinsoku w:val="0"/>
        <w:autoSpaceDE w:val="0"/>
        <w:autoSpaceDN w:val="0"/>
        <w:adjustRightInd w:val="0"/>
        <w:snapToGrid w:val="0"/>
        <w:spacing w:line="360" w:lineRule="auto"/>
        <w:textAlignment w:val="baseline"/>
        <w:rPr>
          <w:rFonts w:hint="eastAsia" w:cs="宋体" w:asciiTheme="majorEastAsia" w:hAnsiTheme="majorEastAsia" w:eastAsiaTheme="majorEastAsia"/>
          <w:snapToGrid w:val="0"/>
          <w:color w:val="000000"/>
          <w:sz w:val="24"/>
          <w:szCs w:val="24"/>
          <w:lang w:val="en-US" w:eastAsia="zh-CN" w:bidi="ar-SA"/>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kinsoku/>
        <w:autoSpaceDE/>
        <w:autoSpaceDN/>
        <w:adjustRightInd/>
        <w:snapToGrid/>
        <w:textAlignment w:val="auto"/>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br w:type="page"/>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2、</w:t>
      </w: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p>
    <w:p>
      <w:pPr>
        <w:kinsoku/>
        <w:spacing w:line="360" w:lineRule="auto"/>
        <w:ind w:firstLine="439" w:firstLineChars="182"/>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一、投标要求</w:t>
      </w:r>
    </w:p>
    <w:p>
      <w:pPr>
        <w:pStyle w:val="23"/>
        <w:numPr>
          <w:ilvl w:val="0"/>
          <w:numId w:val="2"/>
        </w:numPr>
        <w:kinsoku/>
        <w:spacing w:line="360" w:lineRule="auto"/>
        <w:ind w:left="0" w:firstLine="436" w:firstLineChars="182"/>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投标人应遵守国家有关招标投标法律、法规、部门规章和规范性文件。</w:t>
      </w:r>
    </w:p>
    <w:p>
      <w:pPr>
        <w:pStyle w:val="23"/>
        <w:numPr>
          <w:ilvl w:val="0"/>
          <w:numId w:val="2"/>
        </w:numPr>
        <w:kinsoku/>
        <w:spacing w:line="360" w:lineRule="auto"/>
        <w:ind w:left="0" w:firstLine="424" w:firstLineChars="177"/>
        <w:outlineLvl w:val="0"/>
        <w:rPr>
          <w:rFonts w:cs="宋体" w:asciiTheme="majorEastAsia" w:hAnsiTheme="majorEastAsia" w:eastAsiaTheme="majorEastAsia"/>
          <w:sz w:val="24"/>
          <w:szCs w:val="24"/>
        </w:rPr>
      </w:pPr>
      <w:bookmarkStart w:id="0" w:name="_Toc14879"/>
      <w:r>
        <w:rPr>
          <w:rFonts w:cs="宋体" w:asciiTheme="majorEastAsia" w:hAnsiTheme="majorEastAsia" w:eastAsiaTheme="majorEastAsia"/>
          <w:sz w:val="24"/>
          <w:szCs w:val="24"/>
        </w:rPr>
        <w:t>投标资</w:t>
      </w:r>
      <w:r>
        <w:rPr>
          <w:rFonts w:hint="eastAsia" w:cs="宋体" w:asciiTheme="majorEastAsia" w:hAnsiTheme="majorEastAsia" w:eastAsiaTheme="majorEastAsia"/>
          <w:sz w:val="24"/>
          <w:szCs w:val="24"/>
        </w:rPr>
        <w:t>格（包括但不限于）：</w:t>
      </w:r>
      <w:bookmarkEnd w:id="0"/>
    </w:p>
    <w:p>
      <w:pPr>
        <w:numPr>
          <w:ilvl w:val="0"/>
          <w:numId w:val="3"/>
        </w:numPr>
        <w:kinsoku/>
        <w:spacing w:line="360" w:lineRule="auto"/>
        <w:ind w:left="0" w:firstLine="480" w:firstLineChars="200"/>
        <w:rPr>
          <w:rFonts w:cs="宋体" w:asciiTheme="majorEastAsia" w:hAnsiTheme="majorEastAsia" w:eastAsiaTheme="majorEastAsia"/>
          <w:color w:val="auto"/>
          <w:position w:val="5"/>
          <w:sz w:val="24"/>
          <w:szCs w:val="24"/>
        </w:rPr>
      </w:pPr>
      <w:r>
        <w:rPr>
          <w:rFonts w:hint="eastAsia" w:cs="宋体" w:asciiTheme="majorEastAsia" w:hAnsiTheme="majorEastAsia" w:eastAsiaTheme="majorEastAsia"/>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cs="宋体" w:asciiTheme="majorEastAsia" w:hAnsiTheme="majorEastAsia" w:eastAsiaTheme="majorEastAsia"/>
          <w:color w:val="auto"/>
          <w:position w:val="5"/>
          <w:sz w:val="24"/>
          <w:szCs w:val="24"/>
        </w:rPr>
        <w:t>等证书复印件</w:t>
      </w:r>
      <w:r>
        <w:rPr>
          <w:rFonts w:hint="eastAsia" w:cs="宋体" w:asciiTheme="majorEastAsia" w:hAnsiTheme="majorEastAsia" w:eastAsiaTheme="majorEastAsia"/>
          <w:color w:val="auto"/>
          <w:position w:val="5"/>
          <w:sz w:val="24"/>
          <w:szCs w:val="24"/>
        </w:rPr>
        <w:fldChar w:fldCharType="end"/>
      </w:r>
    </w:p>
    <w:p>
      <w:pPr>
        <w:numPr>
          <w:ilvl w:val="0"/>
          <w:numId w:val="3"/>
        </w:numPr>
        <w:tabs>
          <w:tab w:val="left" w:pos="620"/>
        </w:tabs>
        <w:kinsoku/>
        <w:spacing w:line="360" w:lineRule="auto"/>
        <w:ind w:left="0"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供货业绩</w:t>
      </w:r>
    </w:p>
    <w:p>
      <w:pPr>
        <w:kinsoku/>
        <w:spacing w:line="360" w:lineRule="auto"/>
        <w:ind w:left="1" w:right="64"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 投标费用：投标人应承担投标过程中所涉及的一切费用，不管投标结果如何，招标人对上述费用不负任何责任。</w:t>
      </w:r>
    </w:p>
    <w:p>
      <w:pPr>
        <w:kinsoku/>
        <w:spacing w:line="360" w:lineRule="auto"/>
        <w:ind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二、投标报价</w:t>
      </w:r>
    </w:p>
    <w:p>
      <w:pPr>
        <w:pStyle w:val="23"/>
        <w:numPr>
          <w:ilvl w:val="0"/>
          <w:numId w:val="1"/>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投标报价要求按招标文件要求报价，并按招标文件中所</w:t>
      </w:r>
      <w:r>
        <w:rPr>
          <w:rFonts w:cs="宋体" w:asciiTheme="majorEastAsia" w:hAnsiTheme="majorEastAsia" w:eastAsiaTheme="majorEastAsia"/>
          <w:sz w:val="24"/>
          <w:szCs w:val="24"/>
        </w:rPr>
        <w:t>附《投标函》《投标报价表》格式填写。</w:t>
      </w:r>
      <w:bookmarkStart w:id="1" w:name="_Toc4816"/>
    </w:p>
    <w:p>
      <w:pPr>
        <w:pStyle w:val="23"/>
        <w:numPr>
          <w:ilvl w:val="0"/>
          <w:numId w:val="1"/>
        </w:numPr>
        <w:kinsoku/>
        <w:spacing w:line="360" w:lineRule="auto"/>
        <w:ind w:left="0" w:firstLine="439" w:firstLineChars="183"/>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所有投标均以人民币报价。</w:t>
      </w:r>
      <w:bookmarkEnd w:id="1"/>
    </w:p>
    <w:p>
      <w:pPr>
        <w:pStyle w:val="23"/>
        <w:numPr>
          <w:ilvl w:val="0"/>
          <w:numId w:val="1"/>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投标人所报单价在本招标文件项下的合同履行期间不能因市场变化因素而变动。</w:t>
      </w:r>
    </w:p>
    <w:p>
      <w:pPr>
        <w:pStyle w:val="23"/>
        <w:numPr>
          <w:ilvl w:val="0"/>
          <w:numId w:val="1"/>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投标人所报的各种价格均为含税到招标人指定地点交货价（包含产品包装、运输、装卸</w:t>
      </w:r>
      <w:r>
        <w:rPr>
          <w:rFonts w:cs="宋体" w:asciiTheme="majorEastAsia" w:hAnsiTheme="majorEastAsia" w:eastAsiaTheme="majorEastAsia"/>
          <w:sz w:val="24"/>
          <w:szCs w:val="24"/>
        </w:rPr>
        <w:t xml:space="preserve"> 等相关费用）</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投标报价以元为单位，精确到小数点后两位数，超出两位按四舍五入计</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包装物投标人不回收，费用由投标人负担。</w:t>
      </w:r>
    </w:p>
    <w:p>
      <w:pPr>
        <w:pStyle w:val="23"/>
        <w:numPr>
          <w:ilvl w:val="0"/>
          <w:numId w:val="1"/>
        </w:numPr>
        <w:kinsoku/>
        <w:topLinePunct/>
        <w:autoSpaceDN/>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招标人有权重视各投标人全部报价的合理性。所有投标人不能相互串通、哄抬报价，</w:t>
      </w:r>
      <w:r>
        <w:rPr>
          <w:rFonts w:cs="宋体" w:asciiTheme="majorEastAsia" w:hAnsiTheme="majorEastAsia" w:eastAsiaTheme="majorEastAsia"/>
          <w:sz w:val="24"/>
          <w:szCs w:val="24"/>
        </w:rPr>
        <w:t>若有发现，招标人有权宣布其投标无效。</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三、投标文件</w:t>
      </w:r>
    </w:p>
    <w:p>
      <w:pPr>
        <w:pStyle w:val="23"/>
        <w:numPr>
          <w:ilvl w:val="0"/>
          <w:numId w:val="4"/>
        </w:numPr>
        <w:kinsoku/>
        <w:spacing w:line="360" w:lineRule="auto"/>
        <w:ind w:left="0" w:firstLine="480"/>
        <w:outlineLvl w:val="0"/>
        <w:rPr>
          <w:rFonts w:cs="宋体" w:asciiTheme="majorEastAsia" w:hAnsiTheme="majorEastAsia" w:eastAsiaTheme="majorEastAsia"/>
          <w:sz w:val="24"/>
          <w:szCs w:val="24"/>
        </w:rPr>
      </w:pPr>
      <w:bookmarkStart w:id="2" w:name="_Toc30571"/>
      <w:r>
        <w:rPr>
          <w:rFonts w:cs="宋体" w:asciiTheme="majorEastAsia" w:hAnsiTheme="majorEastAsia" w:eastAsiaTheme="majorEastAsia"/>
          <w:sz w:val="24"/>
          <w:szCs w:val="24"/>
        </w:rPr>
        <w:t>投标人应填写其单位名称全称。</w:t>
      </w:r>
      <w:bookmarkEnd w:id="2"/>
    </w:p>
    <w:p>
      <w:pPr>
        <w:pStyle w:val="23"/>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投标文件包括《投标函》《投标报价表》</w:t>
      </w:r>
      <w:r>
        <w:rPr>
          <w:rFonts w:hint="eastAsia" w:cs="宋体" w:asciiTheme="majorEastAsia" w:hAnsiTheme="majorEastAsia" w:eastAsiaTheme="majorEastAsia"/>
          <w:sz w:val="24"/>
          <w:szCs w:val="24"/>
        </w:rPr>
        <w:t>《投标人产品质量承诺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和资格证明文件。资格证明文件包含上述投标资格要求中的所有资料。</w:t>
      </w:r>
    </w:p>
    <w:p>
      <w:pPr>
        <w:pStyle w:val="23"/>
        <w:widowControl w:val="0"/>
        <w:numPr>
          <w:ilvl w:val="0"/>
          <w:numId w:val="4"/>
        </w:numPr>
        <w:kinsoku/>
        <w:spacing w:line="360" w:lineRule="auto"/>
        <w:ind w:left="0"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《投标函》《投标报价表》《投标人产品质量承诺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须加盖投标人公章，由其法定代表人或其委托代理人亲笔签字。</w:t>
      </w:r>
    </w:p>
    <w:p>
      <w:pPr>
        <w:pStyle w:val="23"/>
        <w:widowControl w:val="0"/>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自开标之日起60天内，投标文件应保持有效。有效期短于前述规定期限的投标，将被拒绝。</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四、开标、评标、定标</w:t>
      </w:r>
    </w:p>
    <w:p>
      <w:pPr>
        <w:pStyle w:val="23"/>
        <w:numPr>
          <w:ilvl w:val="0"/>
          <w:numId w:val="5"/>
        </w:numPr>
        <w:kinsoku/>
        <w:spacing w:line="360" w:lineRule="auto"/>
        <w:ind w:left="0" w:firstLine="480"/>
        <w:outlineLvl w:val="0"/>
        <w:rPr>
          <w:rFonts w:cs="宋体" w:asciiTheme="majorEastAsia" w:hAnsiTheme="majorEastAsia" w:eastAsiaTheme="majorEastAsia"/>
          <w:sz w:val="24"/>
          <w:szCs w:val="24"/>
        </w:rPr>
      </w:pPr>
      <w:bookmarkStart w:id="3" w:name="_Toc5695"/>
      <w:r>
        <w:rPr>
          <w:rFonts w:cs="宋体" w:asciiTheme="majorEastAsia" w:hAnsiTheme="majorEastAsia" w:eastAsiaTheme="majorEastAsia"/>
          <w:sz w:val="24"/>
          <w:szCs w:val="24"/>
        </w:rPr>
        <w:t>开标时，将按照招标人有关招投标规定执行。</w:t>
      </w:r>
      <w:bookmarkEnd w:id="3"/>
    </w:p>
    <w:p>
      <w:pPr>
        <w:pStyle w:val="23"/>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开标后由招标人组建的评标委员会进行评标，以经评审的最低评标价法确定中标人。</w:t>
      </w:r>
    </w:p>
    <w:p>
      <w:pPr>
        <w:pStyle w:val="23"/>
        <w:numPr>
          <w:ilvl w:val="0"/>
          <w:numId w:val="5"/>
        </w:numPr>
        <w:kinsoku/>
        <w:spacing w:line="360" w:lineRule="auto"/>
        <w:ind w:left="0" w:firstLine="480"/>
        <w:outlineLvl w:val="0"/>
        <w:rPr>
          <w:rFonts w:cs="宋体" w:asciiTheme="majorEastAsia" w:hAnsiTheme="majorEastAsia" w:eastAsiaTheme="majorEastAsia"/>
          <w:sz w:val="24"/>
          <w:szCs w:val="24"/>
        </w:rPr>
      </w:pPr>
      <w:bookmarkStart w:id="4" w:name="_Toc18886"/>
      <w:r>
        <w:rPr>
          <w:rFonts w:cs="宋体" w:asciiTheme="majorEastAsia" w:hAnsiTheme="majorEastAsia" w:eastAsiaTheme="majorEastAsia"/>
          <w:sz w:val="24"/>
          <w:szCs w:val="24"/>
        </w:rPr>
        <w:t>招标人不对未中标的投标人作任何解释，不退还投标文件。</w:t>
      </w:r>
      <w:bookmarkEnd w:id="4"/>
    </w:p>
    <w:p>
      <w:pPr>
        <w:numPr>
          <w:ilvl w:val="0"/>
          <w:numId w:val="6"/>
        </w:numPr>
        <w:kinsoku/>
        <w:spacing w:line="360" w:lineRule="auto"/>
        <w:ind w:firstLine="482" w:firstLineChars="200"/>
        <w:rPr>
          <w:rFonts w:hint="eastAsia" w:cs="黑体" w:asciiTheme="majorEastAsia" w:hAnsiTheme="majorEastAsia" w:eastAsiaTheme="majorEastAsia"/>
          <w:b/>
          <w:bCs/>
          <w:sz w:val="24"/>
          <w:szCs w:val="24"/>
          <w:lang w:val="en-US" w:eastAsia="zh-CN"/>
        </w:rPr>
      </w:pPr>
      <w:r>
        <w:rPr>
          <w:rFonts w:hint="eastAsia" w:cs="黑体" w:asciiTheme="majorEastAsia" w:hAnsiTheme="majorEastAsia" w:eastAsiaTheme="majorEastAsia"/>
          <w:b/>
          <w:bCs/>
          <w:sz w:val="24"/>
          <w:szCs w:val="24"/>
          <w:lang w:val="en-US" w:eastAsia="zh-CN"/>
        </w:rPr>
        <w:t>评标标准</w:t>
      </w:r>
    </w:p>
    <w:p>
      <w:pPr>
        <w:numPr>
          <w:ilvl w:val="0"/>
          <w:numId w:val="0"/>
        </w:numPr>
        <w:kinsoku/>
        <w:spacing w:line="360" w:lineRule="auto"/>
        <w:ind w:firstLine="480" w:firstLineChars="200"/>
        <w:rPr>
          <w:rFonts w:hint="default" w:cs="黑体" w:asciiTheme="majorEastAsia" w:hAnsiTheme="majorEastAsia" w:eastAsiaTheme="majorEastAsia"/>
          <w:b/>
          <w:bCs/>
          <w:sz w:val="24"/>
          <w:szCs w:val="24"/>
          <w:lang w:val="en-US" w:eastAsia="zh-CN"/>
        </w:rPr>
      </w:pPr>
      <w:r>
        <w:rPr>
          <w:rFonts w:hint="eastAsia" w:cs="宋体" w:asciiTheme="majorEastAsia" w:hAnsiTheme="majorEastAsia" w:eastAsiaTheme="majorEastAsia"/>
          <w:sz w:val="24"/>
          <w:szCs w:val="24"/>
          <w:lang w:val="en-US" w:eastAsia="zh-CN"/>
        </w:rPr>
        <w:t>在材料各项技术要求都满足要求的前提下，</w:t>
      </w:r>
      <w:r>
        <w:rPr>
          <w:rFonts w:cs="宋体" w:asciiTheme="majorEastAsia" w:hAnsiTheme="majorEastAsia" w:eastAsiaTheme="majorEastAsia"/>
          <w:sz w:val="24"/>
          <w:szCs w:val="24"/>
        </w:rPr>
        <w:t>以经评审的最低评标价法确定中标人</w:t>
      </w:r>
      <w:r>
        <w:rPr>
          <w:rFonts w:hint="eastAsia" w:cs="宋体" w:asciiTheme="majorEastAsia" w:hAnsiTheme="majorEastAsia" w:eastAsiaTheme="majorEastAsia"/>
          <w:sz w:val="24"/>
          <w:szCs w:val="24"/>
          <w:lang w:val="en-US" w:eastAsia="zh-CN"/>
        </w:rPr>
        <w:t xml:space="preserve">。 </w:t>
      </w:r>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lang w:val="en-US" w:eastAsia="zh-CN"/>
        </w:rPr>
        <w:t>六</w:t>
      </w:r>
      <w:r>
        <w:rPr>
          <w:rFonts w:cs="黑体" w:asciiTheme="majorEastAsia" w:hAnsiTheme="majorEastAsia" w:eastAsiaTheme="majorEastAsia"/>
          <w:b/>
          <w:bCs/>
          <w:sz w:val="24"/>
          <w:szCs w:val="24"/>
        </w:rPr>
        <w:t>、纪律要求</w:t>
      </w:r>
    </w:p>
    <w:p>
      <w:pPr>
        <w:pStyle w:val="23"/>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投标人不得相互串通投标或者与招标人串通投标，不得向招标人或者评标委员会及其组成人员行贿谋取中标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不得以他人名义投标或者以其他方式弄虚作假骗取中标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投标人不得以任何方式干扰、影响评标工作。</w:t>
      </w:r>
    </w:p>
    <w:p>
      <w:pPr>
        <w:pStyle w:val="23"/>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评标委员会及其组成人员应严格自律</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严格遵守国家法律、法规</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并接受监察部门的监督。</w:t>
      </w:r>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lang w:val="en-US" w:eastAsia="zh-CN"/>
        </w:rPr>
        <w:t>七</w:t>
      </w:r>
      <w:r>
        <w:rPr>
          <w:rFonts w:cs="黑体" w:asciiTheme="majorEastAsia" w:hAnsiTheme="majorEastAsia" w:eastAsiaTheme="majorEastAsia"/>
          <w:b/>
          <w:bCs/>
          <w:sz w:val="24"/>
          <w:szCs w:val="24"/>
        </w:rPr>
        <w:t>、其他</w:t>
      </w:r>
    </w:p>
    <w:p>
      <w:pPr>
        <w:pStyle w:val="23"/>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中标人若改变原材料配方和生产工艺，需征得招标人同意，并需重新认可。</w:t>
      </w:r>
    </w:p>
    <w:p>
      <w:pPr>
        <w:pStyle w:val="23"/>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参加招投标活动的各方应视本次招投标活动的任何信息为秘密，在没有事先征得对方的书面同意的情况下，任何一方不得以任何方式向第三人公布、传递或透露任何信息</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违者应对由此造成的后果承担法律责任。</w:t>
      </w:r>
    </w:p>
    <w:p>
      <w:pPr>
        <w:sectPr>
          <w:headerReference r:id="rId3" w:type="default"/>
          <w:footerReference r:id="rId4" w:type="default"/>
          <w:pgSz w:w="11907" w:h="16839"/>
          <w:pgMar w:top="1432" w:right="1335" w:bottom="1201" w:left="1389" w:header="852" w:footer="1021" w:gutter="0"/>
          <w:cols w:space="720" w:num="1"/>
        </w:sectPr>
      </w:pP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5" w:name="_Toc239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3、</w:t>
      </w: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bookmarkEnd w:id="5"/>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23"/>
        <w:numPr>
          <w:ilvl w:val="0"/>
          <w:numId w:val="9"/>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hint="eastAsia" w:cs="宋体" w:asciiTheme="majorEastAsia" w:hAnsiTheme="majorEastAsia" w:eastAsiaTheme="majorEastAsia"/>
          <w:sz w:val="24"/>
          <w:szCs w:val="24"/>
        </w:rPr>
        <w:t>招标编号：</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23"/>
        <w:numPr>
          <w:ilvl w:val="0"/>
          <w:numId w:val="9"/>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23"/>
        <w:numPr>
          <w:ilvl w:val="0"/>
          <w:numId w:val="9"/>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23"/>
        <w:numPr>
          <w:ilvl w:val="0"/>
          <w:numId w:val="10"/>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23"/>
        <w:numPr>
          <w:ilvl w:val="0"/>
          <w:numId w:val="10"/>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23"/>
        <w:numPr>
          <w:ilvl w:val="0"/>
          <w:numId w:val="10"/>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23"/>
        <w:numPr>
          <w:ilvl w:val="0"/>
          <w:numId w:val="9"/>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tabs>
          <w:tab w:val="left" w:pos="6759"/>
        </w:tabs>
        <w:kinsoku/>
        <w:spacing w:line="360" w:lineRule="auto"/>
        <w:ind w:firstLine="5788"/>
        <w:rPr>
          <w:rFonts w:cs="宋体" w:asciiTheme="majorEastAsia" w:hAnsiTheme="majorEastAsia" w:eastAsiaTheme="majorEastAsia"/>
          <w:sz w:val="24"/>
          <w:szCs w:val="24"/>
        </w:rPr>
      </w:pPr>
      <w:r>
        <w:rPr>
          <w:rFonts w:cs="黑体" w:asciiTheme="majorEastAsia" w:hAnsiTheme="majorEastAsia" w:eastAsiaTheme="majorEastAsia"/>
          <w:sz w:val="24"/>
          <w:szCs w:val="24"/>
          <w:u w:val="single"/>
        </w:rPr>
        <w:tab/>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p>
    <w:p/>
    <w:p/>
    <w:p/>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6" w:name="_Toc8887"/>
      <w:bookmarkStart w:id="7" w:name="_Toc21018"/>
      <w:bookmarkStart w:id="8" w:name="_Toc428651605"/>
      <w:bookmarkStart w:id="9" w:name="_Toc21209"/>
      <w:bookmarkStart w:id="10" w:name="_Toc459908546"/>
      <w:bookmarkStart w:id="11" w:name="_Toc2535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4、法定代表人身份证明</w:t>
      </w:r>
      <w:bookmarkEnd w:id="6"/>
      <w:bookmarkEnd w:id="7"/>
      <w:bookmarkEnd w:id="8"/>
      <w:bookmarkEnd w:id="9"/>
      <w:bookmarkEnd w:id="10"/>
      <w:bookmarkEnd w:id="11"/>
    </w:p>
    <w:p>
      <w:pPr>
        <w:widowControl/>
        <w:spacing w:line="360" w:lineRule="auto"/>
        <w:rPr>
          <w:rFonts w:hint="eastAsia" w:ascii="宋体" w:hAnsi="宋体"/>
          <w:color w:val="000000"/>
        </w:rPr>
      </w:pPr>
    </w:p>
    <w:p>
      <w:pPr>
        <w:widowControl/>
        <w:spacing w:line="360" w:lineRule="auto"/>
        <w:rPr>
          <w:rFonts w:hint="eastAsia" w:ascii="宋体" w:hAnsi="宋体" w:eastAsia="宋体" w:cs="宋体"/>
          <w:color w:val="000000"/>
        </w:rPr>
      </w:pPr>
      <w:r>
        <w:rPr>
          <w:rFonts w:hint="eastAsia" w:ascii="宋体" w:hAnsi="宋体" w:eastAsia="宋体" w:cs="宋体"/>
          <w:color w:val="000000"/>
        </w:rPr>
        <w:t>投标人名称：</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u w:val="single"/>
        </w:rPr>
      </w:pPr>
      <w:r>
        <w:rPr>
          <w:rFonts w:hint="eastAsia" w:ascii="宋体" w:hAnsi="宋体" w:eastAsia="宋体" w:cs="宋体"/>
          <w:color w:val="000000"/>
          <w:lang w:val="en-US" w:eastAsia="zh-CN"/>
        </w:rPr>
        <w:t>统一社会代码</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地址：</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成立时间：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月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日 </w:t>
      </w:r>
    </w:p>
    <w:p>
      <w:pPr>
        <w:widowControl/>
        <w:spacing w:line="360" w:lineRule="auto"/>
        <w:rPr>
          <w:rFonts w:hint="eastAsia" w:ascii="宋体" w:hAnsi="宋体" w:eastAsia="宋体" w:cs="宋体"/>
          <w:color w:val="000000"/>
        </w:rPr>
      </w:pPr>
      <w:r>
        <w:rPr>
          <w:rFonts w:hint="eastAsia" w:ascii="宋体" w:hAnsi="宋体" w:eastAsia="宋体" w:cs="宋体"/>
          <w:color w:val="000000"/>
        </w:rPr>
        <w:t>经营期限：</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姓名：</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性别：</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eastAsia="zh-CN"/>
        </w:rPr>
        <w:t>身份证号</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 xml:space="preserve">系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（投标人名称）的法定代表人。 </w:t>
      </w:r>
    </w:p>
    <w:p>
      <w:pPr>
        <w:widowControl/>
        <w:spacing w:line="360" w:lineRule="auto"/>
        <w:rPr>
          <w:rFonts w:hint="eastAsia" w:ascii="宋体" w:hAnsi="宋体" w:eastAsia="宋体" w:cs="宋体"/>
          <w:color w:val="000000"/>
        </w:rPr>
      </w:pPr>
      <w:r>
        <w:rPr>
          <w:rFonts w:hint="eastAsia" w:ascii="宋体" w:hAnsi="宋体" w:eastAsia="宋体" w:cs="宋体"/>
          <w:color w:val="000000"/>
        </w:rPr>
        <w:t xml:space="preserve">特此证明。 </w:t>
      </w:r>
    </w:p>
    <w:p>
      <w:pPr>
        <w:widowControl/>
        <w:spacing w:line="360" w:lineRule="auto"/>
        <w:rPr>
          <w:rFonts w:hint="eastAsia" w:ascii="宋体" w:hAnsi="宋体" w:eastAsia="宋体" w:cs="宋体"/>
          <w:color w:val="000000"/>
        </w:rPr>
      </w:pPr>
    </w:p>
    <w:p>
      <w:pPr>
        <w:widowControl/>
        <w:spacing w:line="360" w:lineRule="auto"/>
        <w:rPr>
          <w:rFonts w:hint="eastAsia" w:ascii="宋体" w:hAnsi="宋体" w:eastAsia="宋体" w:cs="宋体"/>
          <w:color w:val="000000"/>
        </w:rPr>
      </w:pPr>
    </w:p>
    <w:p>
      <w:pPr>
        <w:widowControl/>
        <w:spacing w:line="360" w:lineRule="auto"/>
        <w:jc w:val="right"/>
        <w:rPr>
          <w:rFonts w:hint="eastAsia" w:ascii="宋体" w:hAnsi="宋体" w:eastAsia="宋体" w:cs="宋体"/>
          <w:color w:val="000000"/>
        </w:rPr>
      </w:pPr>
      <w:r>
        <w:rPr>
          <w:rFonts w:hint="eastAsia" w:ascii="宋体" w:hAnsi="宋体" w:eastAsia="宋体" w:cs="宋体"/>
          <w:color w:val="000000"/>
        </w:rPr>
        <w:t>投标人：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（盖单位章） </w:t>
      </w:r>
    </w:p>
    <w:p>
      <w:pPr>
        <w:widowControl/>
        <w:spacing w:line="360" w:lineRule="auto"/>
        <w:jc w:val="right"/>
        <w:rPr>
          <w:rFonts w:hint="eastAsia" w:ascii="宋体" w:hAnsi="宋体" w:eastAsia="宋体" w:cs="宋体"/>
          <w:color w:val="000000"/>
        </w:rPr>
      </w:pPr>
      <w:r>
        <w:rPr>
          <w:rFonts w:hint="eastAsia" w:ascii="宋体" w:hAnsi="宋体" w:eastAsia="宋体" w:cs="宋体"/>
          <w:color w:val="000000"/>
          <w:u w:val="single"/>
        </w:rPr>
        <w:t xml:space="preserve">         </w:t>
      </w:r>
      <w:r>
        <w:rPr>
          <w:rFonts w:hint="eastAsia" w:ascii="宋体" w:hAnsi="宋体" w:eastAsia="宋体" w:cs="宋体"/>
          <w:color w:val="000000"/>
        </w:rPr>
        <w:t xml:space="preserve">年 </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 xml:space="preserve"> 日 </w:t>
      </w:r>
    </w:p>
    <w:p>
      <w:pPr>
        <w:spacing w:line="360" w:lineRule="auto"/>
        <w:jc w:val="left"/>
        <w:rPr>
          <w:rFonts w:ascii="Arial" w:hAnsi="Arial" w:cs="Arial"/>
        </w:rPr>
      </w:pPr>
    </w:p>
    <w:p>
      <w:pPr>
        <w:pStyle w:val="3"/>
        <w:ind w:firstLine="280" w:firstLineChars="100"/>
        <w:rPr>
          <w:rFonts w:cs="Arial"/>
          <w:bCs w:val="0"/>
        </w:rPr>
      </w:pPr>
      <w:bookmarkStart w:id="12" w:name="_Toc428651606"/>
      <w:bookmarkStart w:id="13" w:name="_Toc459908547"/>
      <w:bookmarkStart w:id="14" w:name="_Toc415646543"/>
      <w:bookmarkStart w:id="15" w:name="_Toc260903000"/>
      <w:bookmarkStart w:id="16" w:name="_Toc138838474"/>
    </w:p>
    <w:p>
      <w:pPr>
        <w:pStyle w:val="3"/>
        <w:ind w:firstLine="280" w:firstLineChars="100"/>
        <w:rPr>
          <w:rFonts w:cs="Arial"/>
          <w:bCs w:val="0"/>
        </w:rPr>
      </w:pPr>
    </w:p>
    <w:p>
      <w:pPr>
        <w:pStyle w:val="3"/>
        <w:ind w:firstLine="280" w:firstLineChars="100"/>
        <w:rPr>
          <w:rFonts w:cs="Arial"/>
          <w:bCs w:val="0"/>
        </w:rPr>
      </w:pPr>
    </w:p>
    <w:p>
      <w:pPr>
        <w:pStyle w:val="3"/>
        <w:rPr>
          <w:rFonts w:cs="Arial"/>
          <w:bCs w:val="0"/>
        </w:rPr>
      </w:pPr>
    </w:p>
    <w:p>
      <w:pPr>
        <w:pStyle w:val="3"/>
        <w:ind w:firstLine="280" w:firstLineChars="100"/>
        <w:rPr>
          <w:rFonts w:cs="Arial"/>
          <w:bCs w:val="0"/>
        </w:rPr>
      </w:pPr>
    </w:p>
    <w:p>
      <w:pPr>
        <w:pStyle w:val="3"/>
        <w:ind w:firstLine="280" w:firstLineChars="100"/>
        <w:rPr>
          <w:rFonts w:cs="Arial"/>
          <w:bCs w:val="0"/>
        </w:rPr>
      </w:pPr>
    </w:p>
    <w:p>
      <w:pPr>
        <w:pStyle w:val="3"/>
        <w:ind w:firstLine="280" w:firstLineChars="100"/>
        <w:rPr>
          <w:rFonts w:cs="Arial"/>
          <w:bCs w:val="0"/>
        </w:rPr>
      </w:pPr>
    </w:p>
    <w:p>
      <w:pPr>
        <w:pStyle w:val="3"/>
        <w:ind w:firstLine="280" w:firstLineChars="100"/>
        <w:rPr>
          <w:rFonts w:cs="Arial"/>
          <w:bCs w:val="0"/>
        </w:rPr>
      </w:pPr>
    </w:p>
    <w:p>
      <w:pPr>
        <w:pStyle w:val="3"/>
        <w:ind w:firstLine="280" w:firstLineChars="100"/>
        <w:rPr>
          <w:rFonts w:cs="Arial"/>
          <w:bCs w:val="0"/>
        </w:rPr>
      </w:pPr>
    </w:p>
    <w:p>
      <w:pPr>
        <w:pStyle w:val="3"/>
        <w:ind w:firstLine="280" w:firstLineChars="100"/>
        <w:rPr>
          <w:rFonts w:cs="Arial"/>
          <w:bCs w:val="0"/>
        </w:rPr>
      </w:pPr>
    </w:p>
    <w:p>
      <w:pPr>
        <w:pStyle w:val="3"/>
        <w:rPr>
          <w:rFonts w:cs="Arial"/>
          <w:bCs w:val="0"/>
        </w:rPr>
      </w:pPr>
    </w:p>
    <w:p>
      <w:pPr>
        <w:rPr>
          <w:rFonts w:cs="Arial"/>
          <w:bCs w:val="0"/>
        </w:rPr>
      </w:pPr>
    </w:p>
    <w:p>
      <w:pPr>
        <w:rPr>
          <w:rFonts w:cs="Arial"/>
          <w:bCs w:val="0"/>
        </w:rPr>
      </w:pPr>
    </w:p>
    <w:p>
      <w:pPr>
        <w:rPr>
          <w:rFonts w:cs="Arial"/>
          <w:bCs w:val="0"/>
        </w:rPr>
      </w:pPr>
    </w:p>
    <w:p>
      <w:pPr>
        <w:rPr>
          <w:rFonts w:cs="Arial"/>
          <w:bCs w:val="0"/>
        </w:rPr>
      </w:pPr>
    </w:p>
    <w:p>
      <w:pPr>
        <w:rPr>
          <w:rFonts w:cs="Arial"/>
          <w:bCs w:val="0"/>
        </w:rPr>
      </w:pPr>
    </w:p>
    <w:p>
      <w:pPr>
        <w:rPr>
          <w:rFonts w:cs="Arial"/>
          <w:bCs w:val="0"/>
        </w:rPr>
      </w:pPr>
    </w:p>
    <w:p>
      <w:pPr>
        <w:rPr>
          <w:rFonts w:cs="Arial"/>
          <w:bCs w:val="0"/>
        </w:rPr>
      </w:pPr>
    </w:p>
    <w:p>
      <w:pPr>
        <w:rPr>
          <w:rFonts w:cs="Arial"/>
          <w:bCs w:val="0"/>
        </w:rPr>
      </w:pPr>
    </w:p>
    <w:p>
      <w:pPr>
        <w:pStyle w:val="3"/>
        <w:rPr>
          <w:rFonts w:cs="Arial"/>
          <w:bCs w:val="0"/>
        </w:rPr>
      </w:pPr>
    </w:p>
    <w:p>
      <w:pPr>
        <w:rPr>
          <w:rFonts w:cs="Arial"/>
          <w:bCs w:val="0"/>
        </w:rPr>
      </w:pPr>
    </w:p>
    <w:p>
      <w:pPr>
        <w:rPr>
          <w:rFonts w:cs="Arial"/>
          <w:bCs w:val="0"/>
        </w:rPr>
      </w:pPr>
    </w:p>
    <w:p>
      <w:pPr>
        <w:rPr>
          <w:rFonts w:cs="Arial"/>
          <w:bCs w:val="0"/>
        </w:rPr>
      </w:pPr>
    </w:p>
    <w:p>
      <w:pPr>
        <w:rPr>
          <w:rFonts w:cs="Arial"/>
          <w:bCs w:val="0"/>
        </w:rPr>
      </w:pPr>
    </w:p>
    <w:p>
      <w:pPr>
        <w:rPr>
          <w:rFonts w:cs="Arial"/>
          <w:bCs w:val="0"/>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5、法定代表人授权书</w:t>
      </w:r>
      <w:bookmarkEnd w:id="12"/>
      <w:bookmarkEnd w:id="13"/>
      <w:bookmarkEnd w:id="14"/>
      <w:bookmarkEnd w:id="15"/>
      <w:bookmarkEnd w:id="16"/>
    </w:p>
    <w:p>
      <w:pPr>
        <w:spacing w:line="360" w:lineRule="auto"/>
        <w:rPr>
          <w:rFonts w:ascii="Arial" w:hAnsi="Arial" w:cs="Arial"/>
        </w:rPr>
      </w:pPr>
    </w:p>
    <w:p>
      <w:pPr>
        <w:pStyle w:val="27"/>
        <w:spacing w:line="300" w:lineRule="auto"/>
        <w:ind w:firstLine="480" w:firstLineChars="200"/>
        <w:rPr>
          <w:rFonts w:hint="eastAsia" w:ascii="宋体" w:hAnsi="宋体" w:eastAsia="宋体" w:cs="宋体"/>
          <w:color w:val="auto"/>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（投标人名称）的法定代表人，现委托</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（姓名）为我方代理人。代理人根据授权，以我方名义签署、澄清、说明、补正、递交、撤回、修改</w:t>
      </w:r>
      <w:r>
        <w:rPr>
          <w:rFonts w:hint="eastAsia" w:ascii="宋体" w:hAnsi="宋体" w:eastAsia="宋体" w:cs="宋体"/>
          <w:lang w:val="en-US" w:eastAsia="zh-CN"/>
        </w:rPr>
        <w:t>投标编号：</w:t>
      </w:r>
      <w:r>
        <w:rPr>
          <w:rFonts w:hint="eastAsia" w:ascii="宋体" w:hAnsi="宋体" w:eastAsia="宋体" w:cs="宋体"/>
          <w:u w:val="single"/>
        </w:rPr>
        <w:t xml:space="preserve"> </w:t>
      </w:r>
      <w:r>
        <w:rPr>
          <w:rFonts w:hint="eastAsia" w:ascii="宋体" w:hAnsi="宋体" w:eastAsia="宋体" w:cs="宋体"/>
          <w:i w:val="0"/>
          <w:iCs w:val="0"/>
          <w:caps w:val="0"/>
          <w:color w:val="333333"/>
          <w:spacing w:val="15"/>
          <w:sz w:val="24"/>
          <w:szCs w:val="24"/>
          <w:u w:val="single"/>
          <w:shd w:val="clear" w:fill="FFFFFF"/>
          <w:lang w:val="en-US" w:eastAsia="zh-CN"/>
        </w:rPr>
        <w:t xml:space="preserve">              </w:t>
      </w:r>
      <w:r>
        <w:rPr>
          <w:rFonts w:hint="eastAsia" w:ascii="宋体" w:hAnsi="宋体" w:eastAsia="宋体" w:cs="宋体"/>
          <w:u w:val="single"/>
        </w:rPr>
        <w:t xml:space="preserve"> </w:t>
      </w:r>
      <w:r>
        <w:rPr>
          <w:rFonts w:hint="eastAsia" w:ascii="宋体" w:hAnsi="宋体" w:eastAsia="宋体" w:cs="宋体"/>
          <w:lang w:val="en-US" w:eastAsia="zh-CN"/>
        </w:rPr>
        <w:t>项目</w:t>
      </w:r>
      <w:r>
        <w:rPr>
          <w:rFonts w:hint="eastAsia" w:ascii="宋体" w:hAnsi="宋体" w:eastAsia="宋体" w:cs="宋体"/>
        </w:rPr>
        <w:t>名称</w:t>
      </w:r>
      <w:r>
        <w:rPr>
          <w:rFonts w:hint="eastAsia" w:ascii="宋体" w:hAnsi="宋体" w:eastAsia="宋体" w:cs="宋体"/>
          <w:u w:val="single"/>
          <w:lang w:val="en-US" w:eastAsia="zh-CN"/>
        </w:rPr>
        <w:t xml:space="preserve">            </w:t>
      </w:r>
      <w:r>
        <w:rPr>
          <w:rFonts w:hint="eastAsia" w:ascii="宋体" w:hAnsi="宋体" w:eastAsia="宋体" w:cs="宋体"/>
        </w:rPr>
        <w:t>投标文件、签订合同和处理有关事宜，其法律后果由我方承担。</w:t>
      </w:r>
    </w:p>
    <w:p>
      <w:pPr>
        <w:pStyle w:val="27"/>
        <w:spacing w:line="300" w:lineRule="auto"/>
        <w:ind w:firstLine="480" w:firstLineChars="200"/>
        <w:rPr>
          <w:rFonts w:hint="eastAsia" w:ascii="宋体" w:hAnsi="宋体" w:eastAsia="宋体" w:cs="宋体"/>
          <w:color w:val="auto"/>
          <w:u w:val="single"/>
        </w:rPr>
      </w:pPr>
      <w:r>
        <w:rPr>
          <w:rFonts w:hint="eastAsia" w:ascii="宋体" w:hAnsi="宋体" w:eastAsia="宋体" w:cs="宋体"/>
          <w:color w:val="auto"/>
        </w:rPr>
        <w:t>委托期限：</w:t>
      </w:r>
      <w:r>
        <w:rPr>
          <w:rFonts w:hint="eastAsia" w:ascii="宋体" w:hAnsi="宋体" w:eastAsia="宋体" w:cs="宋体"/>
          <w:color w:val="auto"/>
          <w:u w:val="single"/>
        </w:rPr>
        <w:t xml:space="preserve">                   </w:t>
      </w:r>
    </w:p>
    <w:p>
      <w:pPr>
        <w:pStyle w:val="27"/>
        <w:spacing w:line="300" w:lineRule="auto"/>
        <w:ind w:firstLine="480" w:firstLineChars="200"/>
        <w:rPr>
          <w:rFonts w:hint="eastAsia" w:ascii="宋体" w:hAnsi="宋体" w:eastAsia="宋体" w:cs="宋体"/>
          <w:color w:val="auto"/>
        </w:rPr>
      </w:pPr>
      <w:r>
        <w:rPr>
          <w:rFonts w:hint="eastAsia" w:ascii="宋体" w:hAnsi="宋体" w:eastAsia="宋体" w:cs="宋体"/>
          <w:color w:val="auto"/>
        </w:rPr>
        <w:t>代理人无转委托权。</w:t>
      </w:r>
    </w:p>
    <w:p>
      <w:pPr>
        <w:pStyle w:val="27"/>
        <w:spacing w:line="300" w:lineRule="auto"/>
        <w:ind w:firstLine="480" w:firstLineChars="200"/>
        <w:rPr>
          <w:rFonts w:ascii="Arial" w:hAnsi="Arial" w:cs="Arial"/>
          <w:color w:val="auto"/>
        </w:rPr>
      </w:pPr>
    </w:p>
    <w:p>
      <w:pPr>
        <w:pStyle w:val="27"/>
        <w:spacing w:line="300" w:lineRule="auto"/>
        <w:ind w:firstLine="480" w:firstLineChars="200"/>
        <w:rPr>
          <w:rFonts w:ascii="Arial" w:hAnsi="Arial" w:cs="Arial"/>
          <w:color w:val="auto"/>
        </w:rPr>
      </w:pPr>
    </w:p>
    <w:p>
      <w:pPr>
        <w:pStyle w:val="27"/>
        <w:spacing w:line="300" w:lineRule="auto"/>
        <w:ind w:right="480" w:firstLine="480" w:firstLineChars="200"/>
        <w:jc w:val="center"/>
        <w:rPr>
          <w:rFonts w:ascii="Arial" w:hAnsi="Arial" w:cs="Arial"/>
          <w:color w:val="auto"/>
        </w:rPr>
      </w:pPr>
      <w:r>
        <w:rPr>
          <w:rFonts w:ascii="Arial" w:hAnsi="Arial" w:cs="Arial"/>
          <w:color w:val="auto"/>
        </w:rPr>
        <w:t xml:space="preserve">   </w:t>
      </w:r>
      <w:r>
        <w:rPr>
          <w:rFonts w:hint="eastAsia" w:ascii="Arial" w:hAnsi="Arial" w:cs="Arial"/>
          <w:color w:val="auto"/>
        </w:rPr>
        <w:t xml:space="preserve">       投 标 </w:t>
      </w:r>
      <w:r>
        <w:rPr>
          <w:rFonts w:ascii="Arial" w:hAnsi="Arial" w:cs="Arial"/>
          <w:color w:val="auto"/>
        </w:rPr>
        <w:t>人：</w:t>
      </w:r>
      <w:r>
        <w:rPr>
          <w:rFonts w:hint="eastAsia" w:hAnsi="宋体"/>
          <w:color w:val="000000"/>
          <w:u w:val="single"/>
          <w:lang w:val="en-US" w:eastAsia="zh-CN"/>
        </w:rPr>
        <w:t xml:space="preserve">                    </w:t>
      </w:r>
      <w:r>
        <w:rPr>
          <w:rFonts w:ascii="Arial" w:hAnsi="Arial" w:cs="Arial"/>
          <w:color w:val="auto"/>
          <w:u w:val="single"/>
        </w:rPr>
        <w:t xml:space="preserve"> </w:t>
      </w:r>
      <w:r>
        <w:rPr>
          <w:rFonts w:ascii="Arial" w:hAnsi="Arial" w:cs="Arial"/>
          <w:color w:val="auto"/>
        </w:rPr>
        <w:t>（盖单位章）</w:t>
      </w:r>
    </w:p>
    <w:p>
      <w:pPr>
        <w:pStyle w:val="27"/>
        <w:spacing w:line="300" w:lineRule="auto"/>
        <w:ind w:right="480" w:firstLine="2160" w:firstLineChars="900"/>
        <w:rPr>
          <w:rFonts w:ascii="Arial" w:hAnsi="Arial" w:cs="Arial"/>
          <w:color w:val="auto"/>
        </w:rPr>
      </w:pPr>
      <w:r>
        <w:rPr>
          <w:rFonts w:ascii="Arial" w:hAnsi="Arial" w:cs="Arial"/>
          <w:color w:val="auto"/>
        </w:rPr>
        <w:t>法定代表人：</w:t>
      </w:r>
      <w:r>
        <w:rPr>
          <w:rFonts w:ascii="Arial" w:hAnsi="Arial" w:cs="Arial"/>
          <w:color w:val="auto"/>
          <w:u w:val="single"/>
        </w:rPr>
        <w:t xml:space="preserve">                         </w:t>
      </w:r>
      <w:r>
        <w:rPr>
          <w:rFonts w:hint="eastAsia" w:ascii="Arial" w:hAnsi="Arial" w:cs="Arial"/>
          <w:color w:val="auto"/>
          <w:u w:val="single"/>
        </w:rPr>
        <w:t xml:space="preserve">  </w:t>
      </w:r>
      <w:r>
        <w:rPr>
          <w:rFonts w:ascii="Arial" w:hAnsi="Arial" w:cs="Arial"/>
          <w:color w:val="auto"/>
        </w:rPr>
        <w:t>（签字）</w:t>
      </w:r>
    </w:p>
    <w:p>
      <w:pPr>
        <w:pStyle w:val="27"/>
        <w:spacing w:line="300" w:lineRule="auto"/>
        <w:ind w:right="48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hint="eastAsia" w:ascii="Arial" w:hAnsi="Arial" w:cs="Arial"/>
          <w:color w:val="auto"/>
          <w:u w:val="single"/>
          <w:lang w:val="en-US" w:eastAsia="zh-CN"/>
        </w:rPr>
        <w:t xml:space="preserve">                         </w:t>
      </w:r>
      <w:r>
        <w:rPr>
          <w:rFonts w:ascii="Arial" w:hAnsi="Arial" w:cs="Arial"/>
          <w:color w:val="auto"/>
          <w:u w:val="single"/>
        </w:rPr>
        <w:t xml:space="preserve"> </w:t>
      </w:r>
      <w:r>
        <w:rPr>
          <w:rFonts w:ascii="Arial" w:hAnsi="Arial" w:cs="Arial"/>
          <w:color w:val="auto"/>
        </w:rPr>
        <w:t xml:space="preserve">    </w:t>
      </w:r>
    </w:p>
    <w:p>
      <w:pPr>
        <w:pStyle w:val="27"/>
        <w:spacing w:line="300" w:lineRule="auto"/>
        <w:ind w:right="480" w:firstLine="2160" w:firstLineChars="900"/>
        <w:rPr>
          <w:rFonts w:ascii="Arial" w:hAnsi="Arial" w:cs="Arial"/>
          <w:color w:val="auto"/>
        </w:rPr>
      </w:pPr>
      <w:r>
        <w:t>委托代理人</w:t>
      </w:r>
      <w:r>
        <w:rPr>
          <w:rFonts w:ascii="Arial" w:hAnsi="Arial" w:cs="Arial"/>
          <w:color w:val="auto"/>
        </w:rPr>
        <w:t>：</w:t>
      </w:r>
      <w:r>
        <w:rPr>
          <w:rFonts w:ascii="Arial" w:hAnsi="Arial" w:cs="Arial"/>
          <w:color w:val="auto"/>
          <w:u w:val="single"/>
        </w:rPr>
        <w:t xml:space="preserve">                           </w:t>
      </w:r>
      <w:r>
        <w:rPr>
          <w:rFonts w:ascii="Arial" w:hAnsi="Arial" w:cs="Arial"/>
          <w:color w:val="auto"/>
        </w:rPr>
        <w:t>（签字）</w:t>
      </w:r>
    </w:p>
    <w:p>
      <w:pPr>
        <w:pStyle w:val="27"/>
        <w:spacing w:line="300" w:lineRule="auto"/>
        <w:ind w:right="48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ascii="Arial" w:hAnsi="Arial" w:cs="Arial"/>
          <w:color w:val="auto"/>
        </w:rPr>
        <w:t xml:space="preserve"> </w:t>
      </w:r>
    </w:p>
    <w:p>
      <w:pPr>
        <w:pStyle w:val="27"/>
        <w:spacing w:line="300" w:lineRule="auto"/>
        <w:ind w:right="480" w:firstLine="4560" w:firstLineChars="1900"/>
        <w:rPr>
          <w:rFonts w:ascii="Arial" w:hAnsi="Arial" w:cs="Arial"/>
          <w:color w:val="auto"/>
        </w:rPr>
      </w:pPr>
      <w:r>
        <w:rPr>
          <w:rFonts w:ascii="Arial" w:hAnsi="Arial" w:cs="Arial"/>
          <w:color w:val="auto"/>
          <w:u w:val="single"/>
        </w:rPr>
        <w:t xml:space="preserve">         </w:t>
      </w:r>
      <w:r>
        <w:rPr>
          <w:rFonts w:ascii="Arial" w:hAnsi="Arial" w:cs="Arial"/>
          <w:color w:val="auto"/>
        </w:rPr>
        <w:t>年</w:t>
      </w:r>
      <w:r>
        <w:rPr>
          <w:rFonts w:ascii="Arial" w:hAnsi="Arial" w:cs="Arial"/>
          <w:color w:val="auto"/>
          <w:u w:val="single"/>
        </w:rPr>
        <w:t xml:space="preserve">      </w:t>
      </w:r>
      <w:r>
        <w:rPr>
          <w:rFonts w:ascii="Arial" w:hAnsi="Arial" w:cs="Arial"/>
          <w:color w:val="auto"/>
        </w:rPr>
        <w:t>月</w:t>
      </w:r>
      <w:r>
        <w:rPr>
          <w:rFonts w:ascii="Arial" w:hAnsi="Arial" w:cs="Arial"/>
          <w:color w:val="auto"/>
          <w:u w:val="single"/>
        </w:rPr>
        <w:t xml:space="preserve">      </w:t>
      </w:r>
      <w:r>
        <w:rPr>
          <w:rFonts w:ascii="Arial" w:hAnsi="Arial" w:cs="Arial"/>
          <w:color w:val="auto"/>
        </w:rPr>
        <w:t>日</w:t>
      </w:r>
    </w:p>
    <w:p>
      <w:pPr>
        <w:pStyle w:val="27"/>
        <w:spacing w:line="300" w:lineRule="auto"/>
        <w:ind w:right="480" w:firstLine="3990" w:firstLineChars="1900"/>
        <w:rPr>
          <w:rFonts w:ascii="Arial" w:hAnsi="Arial" w:cs="Arial"/>
          <w:color w:val="auto"/>
          <w:sz w:val="21"/>
          <w:szCs w:val="21"/>
        </w:rPr>
      </w:pPr>
    </w:p>
    <w:p>
      <w:pPr>
        <w:ind w:firstLine="480"/>
        <w:rPr>
          <w:rFonts w:hAnsi="宋体" w:cs="宋体"/>
          <w:szCs w:val="21"/>
        </w:rPr>
      </w:pPr>
    </w:p>
    <w:p>
      <w:pPr>
        <w:ind w:firstLine="480"/>
        <w:rPr>
          <w:rFonts w:hAnsi="宋体" w:cs="宋体"/>
          <w:szCs w:val="21"/>
        </w:rPr>
      </w:pPr>
    </w:p>
    <w:p>
      <w:pPr>
        <w:rPr>
          <w:rFonts w:hint="eastAsia"/>
          <w:lang w:eastAsia="zh-CN"/>
        </w:rPr>
      </w:pPr>
    </w:p>
    <w:p>
      <w:pPr>
        <w:rPr>
          <w:rFonts w:hint="default" w:eastAsia="宋体"/>
          <w:highlight w:val="yellow"/>
          <w:lang w:val="en-US" w:eastAsia="zh-CN"/>
        </w:rPr>
        <w:sectPr>
          <w:headerReference r:id="rId5" w:type="default"/>
          <w:footerReference r:id="rId6" w:type="default"/>
          <w:pgSz w:w="11907" w:h="16839"/>
          <w:pgMar w:top="1432" w:right="1389" w:bottom="1201" w:left="1389" w:header="852" w:footer="1021" w:gutter="0"/>
          <w:cols w:space="720" w:num="1"/>
        </w:sectPr>
      </w:pPr>
      <w:r>
        <w:rPr>
          <w:rFonts w:hint="eastAsia" w:eastAsia="宋体"/>
          <w:highlight w:val="yellow"/>
          <w:lang w:val="en-US" w:eastAsia="zh-CN"/>
        </w:rPr>
        <w:t>注：如无授权，只需提供法人代表身份证明。</w:t>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17" w:name="_Toc157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6、</w:t>
      </w: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bookmarkEnd w:id="17"/>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hint="eastAsia" w:ascii="宋体" w:hAnsi="宋体" w:eastAsia="宋体" w:cs="宋体"/>
          <w:sz w:val="24"/>
          <w:szCs w:val="24"/>
        </w:rPr>
        <w:t>招标编号：</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项目名称：</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17"/>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图号</w:t>
            </w:r>
          </w:p>
        </w:tc>
        <w:tc>
          <w:tcPr>
            <w:tcW w:w="2126" w:type="dxa"/>
            <w:vAlign w:val="center"/>
          </w:tcPr>
          <w:p>
            <w:pPr>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名称</w:t>
            </w:r>
          </w:p>
        </w:tc>
        <w:tc>
          <w:tcPr>
            <w:tcW w:w="993" w:type="dxa"/>
            <w:tcBorders>
              <w:right w:val="single" w:color="auto" w:sz="4" w:space="0"/>
            </w:tcBorders>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数量</w:t>
            </w:r>
          </w:p>
        </w:tc>
        <w:tc>
          <w:tcPr>
            <w:tcW w:w="992" w:type="dxa"/>
            <w:tcBorders>
              <w:left w:val="single" w:color="auto" w:sz="4" w:space="0"/>
            </w:tcBorders>
            <w:vAlign w:val="center"/>
          </w:tcPr>
          <w:p>
            <w:pPr>
              <w:jc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单件重量（kg）</w:t>
            </w:r>
          </w:p>
        </w:tc>
        <w:tc>
          <w:tcPr>
            <w:tcW w:w="1559" w:type="dxa"/>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铸件</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单价</w:t>
            </w:r>
          </w:p>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/kg</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加工费</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r>
              <w:rPr>
                <w:rFonts w:hint="eastAsia" w:cs="宋体" w:asciiTheme="minorEastAsia" w:hAnsiTheme="minorEastAsia" w:eastAsiaTheme="minorEastAsia"/>
                <w:sz w:val="24"/>
                <w:szCs w:val="24"/>
                <w:lang w:val="en-US" w:eastAsia="zh-CN"/>
                <w14:textOutline w14:w="4178" w14:cap="flat" w14:cmpd="sng" w14:algn="ctr">
                  <w14:solidFill>
                    <w14:srgbClr w14:val="000000"/>
                  </w14:solidFill>
                  <w14:prstDash w14:val="solid"/>
                  <w14:miter w14:val="0"/>
                </w14:textOutline>
              </w:rPr>
              <w:t>/件</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ectPr>
          <w:headerReference r:id="rId7" w:type="default"/>
          <w:footerReference r:id="rId8" w:type="default"/>
          <w:pgSz w:w="16839" w:h="11907"/>
          <w:pgMar w:top="1432" w:right="1389" w:bottom="1201" w:left="1389" w:header="851" w:footer="1021" w:gutter="0"/>
          <w:cols w:space="720" w:num="1"/>
        </w:sectPr>
      </w:pPr>
    </w:p>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18" w:name="_Toc7134"/>
      <w:bookmarkStart w:id="21" w:name="_GoBack"/>
      <w:bookmarkEnd w:id="21"/>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7、</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bookmarkEnd w:id="18"/>
    </w:p>
    <w:p>
      <w:pPr>
        <w:pStyle w:val="5"/>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5"/>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若我单位在贵公司组织的招标编号：</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w:t>
      </w:r>
      <w:r>
        <w:rPr>
          <w:rFonts w:hint="eastAsia" w:asciiTheme="majorEastAsia" w:hAnsiTheme="majorEastAsia" w:eastAsiaTheme="majorEastAsia"/>
          <w:lang w:val="en-US"/>
        </w:rPr>
        <w:t>项目名称：</w:t>
      </w:r>
      <w:r>
        <w:rPr>
          <w:rFonts w:hint="eastAsia" w:asciiTheme="majorEastAsia" w:hAnsiTheme="majorEastAsia" w:eastAsiaTheme="majorEastAsia"/>
          <w:u w:val="single"/>
          <w:lang w:val="en-US"/>
        </w:rPr>
        <w:t xml:space="preserve">                </w:t>
      </w:r>
      <w:r>
        <w:rPr>
          <w:rFonts w:hint="eastAsia" w:asciiTheme="majorEastAsia" w:hAnsiTheme="majorEastAsia" w:eastAsiaTheme="majorEastAsia"/>
          <w:lang w:val="en-US"/>
        </w:rPr>
        <w:t>中成功中标，将认真履行项目投标文件要求，对该项目做出如下产品质量承诺：</w:t>
      </w:r>
    </w:p>
    <w:p>
      <w:pPr>
        <w:pStyle w:val="5"/>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5"/>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5"/>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2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lang w:val="en-US" w:eastAsia="zh-CN"/>
        </w:rPr>
        <w:t>4</w:t>
      </w:r>
      <w:r>
        <w:rPr>
          <w:rFonts w:hint="eastAsia" w:cs="宋体" w:asciiTheme="majorEastAsia" w:hAnsiTheme="majorEastAsia" w:eastAsiaTheme="majorEastAsia"/>
          <w:sz w:val="24"/>
          <w:szCs w:val="24"/>
          <w:lang w:eastAsia="zh-CN"/>
        </w:rPr>
        <w:t>）</w:t>
      </w:r>
      <w:r>
        <w:rPr>
          <w:rFonts w:cs="宋体" w:asciiTheme="majorEastAsia" w:hAnsiTheme="majorEastAsia" w:eastAsiaTheme="majorEastAsia"/>
          <w:sz w:val="24"/>
          <w:szCs w:val="24"/>
        </w:rPr>
        <w:t>本</w:t>
      </w:r>
      <w:r>
        <w:rPr>
          <w:rFonts w:hint="eastAsia" w:cs="宋体" w:asciiTheme="majorEastAsia" w:hAnsiTheme="majorEastAsia" w:eastAsiaTheme="majorEastAsia"/>
          <w:sz w:val="24"/>
          <w:szCs w:val="24"/>
          <w:lang w:val="en-US" w:eastAsia="zh-CN"/>
        </w:rPr>
        <w:t>承诺函</w:t>
      </w:r>
      <w:r>
        <w:rPr>
          <w:rFonts w:cs="宋体" w:asciiTheme="majorEastAsia" w:hAnsiTheme="majorEastAsia" w:eastAsiaTheme="majorEastAsia"/>
          <w:sz w:val="24"/>
          <w:szCs w:val="24"/>
        </w:rPr>
        <w:t>将成为买卖合同不可分割的组成部分，与买卖合同具有同等的法律效力。</w:t>
      </w:r>
    </w:p>
    <w:p>
      <w:pPr>
        <w:pStyle w:val="5"/>
        <w:spacing w:line="360" w:lineRule="auto"/>
        <w:ind w:firstLine="480" w:firstLineChars="200"/>
        <w:jc w:val="both"/>
        <w:rPr>
          <w:rFonts w:hint="eastAsia" w:asciiTheme="majorEastAsia" w:hAnsiTheme="majorEastAsia" w:eastAsiaTheme="majorEastAsia"/>
          <w:lang w:val="en-US"/>
        </w:rPr>
      </w:pPr>
    </w:p>
    <w:p>
      <w:pPr>
        <w:pStyle w:val="5"/>
        <w:spacing w:line="360" w:lineRule="auto"/>
        <w:ind w:firstLine="660" w:firstLineChars="275"/>
        <w:rPr>
          <w:lang w:val="en-US"/>
        </w:rPr>
      </w:pPr>
    </w:p>
    <w:p>
      <w:pPr>
        <w:pStyle w:val="5"/>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5"/>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
    <w:p/>
    <w:p/>
    <w:p/>
    <w:p/>
    <w:p/>
    <w:p/>
    <w:p/>
    <w:p/>
    <w:p/>
    <w:p/>
    <w:p/>
    <w:p/>
    <w:p>
      <w:pPr>
        <w:rPr>
          <w:rFonts w:hint="eastAsia" w:eastAsia="宋体"/>
          <w:b/>
          <w:bCs/>
          <w:lang w:val="en-US" w:eastAsia="zh-CN"/>
        </w:rPr>
      </w:pPr>
    </w:p>
    <w:p>
      <w:pPr>
        <w:spacing w:before="312" w:beforeLines="100" w:after="156"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19" w:name="_Toc13990133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8、廉洁承诺函</w:t>
      </w:r>
      <w:bookmarkEnd w:id="19"/>
    </w:p>
    <w:p>
      <w:pPr>
        <w:spacing w:line="360" w:lineRule="auto"/>
        <w:ind w:firstLine="480" w:firstLineChars="200"/>
        <w:rPr>
          <w:rFonts w:ascii="宋体" w:hAnsi="宋体" w:eastAsia="宋体" w:cs="宋体"/>
          <w:sz w:val="24"/>
        </w:rPr>
      </w:pPr>
      <w:r>
        <w:rPr>
          <w:rFonts w:hint="eastAsia" w:ascii="宋体" w:hAnsi="宋体" w:eastAsia="宋体" w:cs="宋体"/>
          <w:sz w:val="24"/>
        </w:rPr>
        <w:t>为了维护双方的合法权益，确保双方在项目业务合作中遵纪守法、远离商业贿赂和保证廉洁从业的健康良好合作氛围，防止各种违纪违法行为的发生。关于业务廉洁我司承诺如下：</w:t>
      </w:r>
    </w:p>
    <w:p>
      <w:pPr>
        <w:spacing w:line="360" w:lineRule="auto"/>
        <w:rPr>
          <w:rFonts w:ascii="宋体" w:hAnsi="宋体" w:eastAsia="宋体" w:cs="宋体"/>
          <w:sz w:val="24"/>
        </w:rPr>
      </w:pPr>
      <w:r>
        <w:rPr>
          <w:rFonts w:hint="eastAsia" w:ascii="宋体" w:hAnsi="宋体" w:eastAsia="宋体" w:cs="宋体"/>
          <w:sz w:val="24"/>
        </w:rPr>
        <w:t>1、必须严格按照国家法律和双方签订的合同开展业务活动，认真执行廉洁纪律，不得有违法乱纪行为。</w:t>
      </w:r>
    </w:p>
    <w:p>
      <w:pPr>
        <w:spacing w:line="360" w:lineRule="auto"/>
        <w:rPr>
          <w:rFonts w:ascii="宋体" w:hAnsi="宋体" w:eastAsia="宋体" w:cs="宋体"/>
          <w:sz w:val="24"/>
        </w:rPr>
      </w:pPr>
      <w:r>
        <w:rPr>
          <w:rFonts w:hint="eastAsia" w:ascii="宋体" w:hAnsi="宋体" w:eastAsia="宋体" w:cs="宋体"/>
          <w:sz w:val="24"/>
        </w:rPr>
        <w:t>2、不准以任何形式支付回扣、提成、佣金、好处费等。</w:t>
      </w:r>
    </w:p>
    <w:p>
      <w:pPr>
        <w:spacing w:line="360" w:lineRule="auto"/>
        <w:rPr>
          <w:rFonts w:ascii="宋体" w:hAnsi="宋体" w:eastAsia="宋体" w:cs="宋体"/>
          <w:sz w:val="24"/>
        </w:rPr>
      </w:pPr>
      <w:r>
        <w:rPr>
          <w:rFonts w:hint="eastAsia" w:ascii="宋体" w:hAnsi="宋体" w:eastAsia="宋体" w:cs="宋体"/>
          <w:sz w:val="24"/>
        </w:rPr>
        <w:t>3、不准赠送礼金、有价证券、贵重物品和土特产等。</w:t>
      </w:r>
    </w:p>
    <w:p>
      <w:pPr>
        <w:spacing w:line="360" w:lineRule="auto"/>
        <w:rPr>
          <w:rFonts w:ascii="宋体" w:hAnsi="宋体" w:eastAsia="宋体" w:cs="宋体"/>
          <w:sz w:val="24"/>
        </w:rPr>
      </w:pPr>
      <w:r>
        <w:rPr>
          <w:rFonts w:hint="eastAsia" w:ascii="宋体" w:hAnsi="宋体" w:eastAsia="宋体" w:cs="宋体"/>
          <w:sz w:val="24"/>
        </w:rPr>
        <w:t>4、不准为招标单位人员报销任何应由个人支付的费用。</w:t>
      </w:r>
    </w:p>
    <w:p>
      <w:pPr>
        <w:spacing w:line="360" w:lineRule="auto"/>
        <w:rPr>
          <w:rFonts w:ascii="宋体" w:hAnsi="宋体" w:eastAsia="宋体" w:cs="宋体"/>
          <w:sz w:val="24"/>
        </w:rPr>
      </w:pPr>
      <w:r>
        <w:rPr>
          <w:rFonts w:hint="eastAsia" w:ascii="宋体" w:hAnsi="宋体" w:eastAsia="宋体" w:cs="宋体"/>
          <w:sz w:val="24"/>
        </w:rPr>
        <w:t>5、不准为招标单位人员购置或者提供通讯工具、交通工具、家电、高档办公用品、高档日用品等物品。</w:t>
      </w:r>
    </w:p>
    <w:p>
      <w:pPr>
        <w:spacing w:line="360" w:lineRule="auto"/>
        <w:rPr>
          <w:rFonts w:ascii="宋体" w:hAnsi="宋体" w:eastAsia="宋体" w:cs="宋体"/>
          <w:sz w:val="24"/>
        </w:rPr>
      </w:pPr>
      <w:r>
        <w:rPr>
          <w:rFonts w:hint="eastAsia" w:ascii="宋体" w:hAnsi="宋体" w:eastAsia="宋体" w:cs="宋体"/>
          <w:sz w:val="24"/>
        </w:rPr>
        <w:t>6、不准邀请招标单位人员参加可能对开展业务有影响的宴请、娱乐活动等。</w:t>
      </w:r>
    </w:p>
    <w:p>
      <w:pPr>
        <w:spacing w:line="360" w:lineRule="auto"/>
        <w:rPr>
          <w:rFonts w:ascii="宋体" w:hAnsi="宋体" w:eastAsia="宋体" w:cs="宋体"/>
          <w:sz w:val="24"/>
        </w:rPr>
      </w:pPr>
      <w:r>
        <w:rPr>
          <w:rFonts w:hint="eastAsia" w:ascii="宋体" w:hAnsi="宋体" w:eastAsia="宋体" w:cs="宋体"/>
          <w:sz w:val="24"/>
        </w:rPr>
        <w:t>7、不准以洽谈业务、签订经济合同为借口，邀请招标单位人员外出旅游。</w:t>
      </w:r>
    </w:p>
    <w:p>
      <w:pPr>
        <w:spacing w:line="360" w:lineRule="auto"/>
        <w:rPr>
          <w:rFonts w:ascii="宋体" w:hAnsi="宋体" w:eastAsia="宋体" w:cs="宋体"/>
          <w:sz w:val="24"/>
        </w:rPr>
      </w:pPr>
      <w:r>
        <w:rPr>
          <w:rFonts w:hint="eastAsia" w:ascii="宋体" w:hAnsi="宋体" w:eastAsia="宋体" w:cs="宋体"/>
          <w:sz w:val="24"/>
        </w:rPr>
        <w:t>8、不准给招标单位人员的婚丧嫁娶、亲属工作安排以及出国等提供方便。</w:t>
      </w:r>
    </w:p>
    <w:p>
      <w:pPr>
        <w:spacing w:line="360" w:lineRule="auto"/>
        <w:rPr>
          <w:rFonts w:ascii="宋体" w:hAnsi="宋体" w:eastAsia="宋体" w:cs="宋体"/>
          <w:sz w:val="24"/>
        </w:rPr>
      </w:pPr>
      <w:r>
        <w:rPr>
          <w:rFonts w:hint="eastAsia" w:ascii="宋体" w:hAnsi="宋体" w:eastAsia="宋体" w:cs="宋体"/>
          <w:sz w:val="24"/>
        </w:rPr>
        <w:t>9、不准通过不正当途径开展业务活动，对招标单位人员索取财物的要求应予以拒绝。</w:t>
      </w:r>
    </w:p>
    <w:p>
      <w:pPr>
        <w:spacing w:line="360" w:lineRule="auto"/>
        <w:rPr>
          <w:rFonts w:ascii="宋体" w:hAnsi="宋体" w:eastAsia="宋体" w:cs="宋体"/>
          <w:sz w:val="24"/>
        </w:rPr>
      </w:pPr>
      <w:r>
        <w:rPr>
          <w:rFonts w:hint="eastAsia" w:ascii="宋体" w:hAnsi="宋体" w:eastAsia="宋体" w:cs="宋体"/>
          <w:sz w:val="24"/>
        </w:rPr>
        <w:t>10、必须遵守保密规定，不准通过泄露双方商业机密。</w:t>
      </w:r>
    </w:p>
    <w:p>
      <w:pPr>
        <w:spacing w:line="360" w:lineRule="auto"/>
        <w:rPr>
          <w:rFonts w:ascii="宋体" w:hAnsi="宋体" w:eastAsia="宋体" w:cs="宋体"/>
          <w:sz w:val="24"/>
        </w:rPr>
      </w:pPr>
      <w:r>
        <w:rPr>
          <w:rFonts w:hint="eastAsia" w:ascii="宋体" w:hAnsi="宋体" w:eastAsia="宋体" w:cs="宋体"/>
          <w:sz w:val="24"/>
        </w:rPr>
        <w:t>11、如发现有违反约定行为，将严格追究相关人员责任；涉嫌违法犯罪的，移交司法机关处理；不准找借口对招标单位人员进行报复。</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pStyle w:val="5"/>
        <w:spacing w:before="227" w:line="360" w:lineRule="auto"/>
        <w:ind w:right="-274"/>
        <w:jc w:val="center"/>
      </w:pPr>
      <w:r>
        <w:rPr>
          <w:rFonts w:hint="eastAsia"/>
          <w:lang w:val="en-US"/>
        </w:rPr>
        <w:t xml:space="preserve">                            </w:t>
      </w:r>
      <w:r>
        <w:rPr>
          <w:rFonts w:hint="eastAsia"/>
        </w:rPr>
        <w:t>投标人（盖单位公章）：</w:t>
      </w:r>
      <w:r>
        <w:rPr>
          <w:rFonts w:hint="eastAsia"/>
          <w:spacing w:val="1"/>
          <w:lang w:val="en-US"/>
        </w:rPr>
        <w:t xml:space="preserve"> </w:t>
      </w:r>
    </w:p>
    <w:p>
      <w:pPr>
        <w:spacing w:line="360" w:lineRule="auto"/>
        <w:jc w:val="right"/>
        <w:rPr>
          <w:rFonts w:ascii="宋体" w:hAnsi="宋体" w:eastAsia="宋体" w:cs="宋体"/>
          <w:sz w:val="24"/>
          <w:szCs w:val="24"/>
          <w:lang w:bidi="zh-CN"/>
        </w:rPr>
      </w:pPr>
    </w:p>
    <w:p>
      <w:pPr>
        <w:spacing w:line="360" w:lineRule="auto"/>
        <w:ind w:firstLine="4800" w:firstLineChars="2000"/>
        <w:jc w:val="both"/>
        <w:rPr>
          <w:rFonts w:ascii="宋体" w:hAnsi="宋体" w:eastAsia="宋体" w:cs="宋体"/>
          <w:sz w:val="24"/>
          <w:szCs w:val="24"/>
          <w:lang w:bidi="zh-CN"/>
        </w:rPr>
      </w:pPr>
      <w:r>
        <w:rPr>
          <w:rFonts w:hint="eastAsia" w:ascii="宋体" w:hAnsi="宋体" w:eastAsia="宋体" w:cs="宋体"/>
          <w:sz w:val="24"/>
          <w:szCs w:val="24"/>
          <w:lang w:bidi="zh-CN"/>
        </w:rPr>
        <w:t>日  期：    年    月     日</w:t>
      </w:r>
    </w:p>
    <w:p>
      <w:pPr>
        <w:rPr>
          <w:rFonts w:hint="eastAsia" w:eastAsia="宋体"/>
          <w:b/>
          <w:bCs/>
          <w:lang w:val="en-US" w:eastAsia="zh-CN"/>
        </w:rPr>
      </w:pPr>
    </w:p>
    <w:p>
      <w:pPr>
        <w:rPr>
          <w:rFonts w:hint="eastAsia" w:eastAsia="宋体"/>
          <w:b/>
          <w:bCs/>
          <w:lang w:val="en-US" w:eastAsia="zh-CN"/>
        </w:rPr>
      </w:pPr>
    </w:p>
    <w:p>
      <w:pPr>
        <w:rPr>
          <w:rFonts w:hint="eastAsia" w:eastAsia="宋体"/>
          <w:b/>
          <w:bCs/>
          <w:lang w:val="en-US" w:eastAsia="zh-CN"/>
        </w:rPr>
      </w:pPr>
    </w:p>
    <w:p>
      <w:pPr>
        <w:rPr>
          <w:rFonts w:hint="eastAsia" w:eastAsia="宋体"/>
          <w:b/>
          <w:bCs/>
          <w:lang w:val="en-US" w:eastAsia="zh-CN"/>
        </w:rPr>
      </w:pPr>
    </w:p>
    <w:p>
      <w:pPr>
        <w:spacing w:line="360" w:lineRule="auto"/>
        <w:jc w:val="both"/>
        <w:rPr>
          <w:rFonts w:hint="default" w:eastAsia="宋体"/>
          <w:b/>
          <w:bCs/>
          <w:lang w:val="en-US" w:eastAsia="zh-CN"/>
        </w:rPr>
      </w:pPr>
      <w:r>
        <w:rPr>
          <w:rStyle w:val="28"/>
          <w:rFonts w:hint="eastAsia"/>
          <w:sz w:val="24"/>
          <w:szCs w:val="24"/>
          <w:lang w:val="en-US" w:eastAsia="zh-CN"/>
        </w:rPr>
        <w:t xml:space="preserve">         </w:t>
      </w:r>
      <w:r>
        <w:rPr>
          <w:rStyle w:val="28"/>
          <w:rFonts w:hint="eastAsia"/>
          <w:lang w:val="en-US" w:eastAsia="zh-CN"/>
        </w:rPr>
        <w:t xml:space="preserve">      </w:t>
      </w: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 xml:space="preserve">9、 购销合同   </w:t>
      </w:r>
      <w:r>
        <w:rPr>
          <w:rFonts w:hint="eastAsia"/>
          <w:lang w:val="en-US" w:eastAsia="zh-CN"/>
        </w:rPr>
        <w:t xml:space="preserve">          </w:t>
      </w:r>
      <w:r>
        <w:rPr>
          <w:rFonts w:hint="eastAsia"/>
          <w:b/>
          <w:bCs/>
          <w:lang w:val="en-US" w:eastAsia="zh-CN"/>
        </w:rPr>
        <w:t xml:space="preserve"> 日期：   年  月  日</w:t>
      </w:r>
    </w:p>
    <w:p>
      <w:pPr>
        <w:spacing w:line="520" w:lineRule="exact"/>
        <w:rPr>
          <w:rFonts w:hint="eastAsia"/>
        </w:rPr>
      </w:pPr>
      <w:r>
        <w:rPr>
          <w:rFonts w:hint="eastAsia"/>
        </w:rPr>
        <w:t>供方：</w:t>
      </w:r>
      <w:r>
        <w:rPr>
          <w:rFonts w:hint="eastAsia"/>
          <w:lang w:val="en-US" w:eastAsia="zh-CN"/>
        </w:rPr>
        <w:t xml:space="preserve">                            </w:t>
      </w:r>
      <w:r>
        <w:rPr>
          <w:rFonts w:hint="eastAsia"/>
        </w:rPr>
        <w:t>需方：</w:t>
      </w:r>
      <w:r>
        <w:rPr>
          <w:rFonts w:hint="eastAsia"/>
          <w:lang w:val="en-US" w:eastAsia="zh-CN"/>
        </w:rPr>
        <w:t>中国机械总院集团海西（福建）分院有限公司</w:t>
      </w:r>
      <w:r>
        <w:rPr>
          <w:rFonts w:hint="eastAsia"/>
        </w:rPr>
        <w:t>　</w:t>
      </w:r>
    </w:p>
    <w:p>
      <w:pPr>
        <w:spacing w:line="360" w:lineRule="auto"/>
        <w:ind w:firstLine="420" w:firstLineChars="200"/>
        <w:rPr>
          <w:rFonts w:hint="eastAsia"/>
        </w:rPr>
      </w:pPr>
      <w:r>
        <w:rPr>
          <w:rFonts w:hint="eastAsia"/>
        </w:rPr>
        <w:t>根据《中华人民共和国</w:t>
      </w:r>
      <w:r>
        <w:rPr>
          <w:rFonts w:hint="eastAsia"/>
          <w:lang w:eastAsia="zh-CN"/>
        </w:rPr>
        <w:t>民法典</w:t>
      </w:r>
      <w:r>
        <w:rPr>
          <w:rFonts w:hint="eastAsia"/>
        </w:rPr>
        <w:t>》及其他有关法律、法规的规定，买卖双方在平等、自愿、公平、诚实信用的基础上达成协议如下：</w:t>
      </w:r>
    </w:p>
    <w:p>
      <w:pPr>
        <w:spacing w:line="360" w:lineRule="auto"/>
        <w:rPr>
          <w:rFonts w:hint="eastAsia"/>
        </w:rPr>
      </w:pPr>
      <w:r>
        <w:rPr>
          <w:rFonts w:hint="eastAsia" w:ascii="Calibri" w:hAnsi="Calibri" w:eastAsia="宋体" w:cs="Times New Roman"/>
          <w:lang w:val="en-US" w:eastAsia="zh-CN"/>
        </w:rPr>
        <w:t>一、产品名称、型号、数量、金额、卖货时间及数量：</w:t>
      </w:r>
    </w:p>
    <w:tbl>
      <w:tblPr>
        <w:tblStyle w:val="12"/>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2145"/>
        <w:gridCol w:w="1875"/>
        <w:gridCol w:w="930"/>
        <w:gridCol w:w="915"/>
        <w:gridCol w:w="1170"/>
        <w:gridCol w:w="108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图 号</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名 称及规格</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数量</w:t>
            </w:r>
          </w:p>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材 料</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铸件价格/吨</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粗加工费/件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b/>
                <w:bCs/>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lang w:val="en-US" w:eastAsia="zh-CN"/>
        </w:rPr>
      </w:pPr>
      <w:r>
        <w:rPr>
          <w:rFonts w:hint="eastAsia" w:ascii="Calibri" w:hAnsi="Calibri" w:eastAsia="宋体" w:cs="Times New Roman"/>
        </w:rPr>
        <w:t>以上价格为含税含运费（</w:t>
      </w:r>
      <w:r>
        <w:rPr>
          <w:rFonts w:hint="eastAsia" w:ascii="Calibri" w:hAnsi="Calibri" w:eastAsia="宋体" w:cs="Times New Roman"/>
          <w:lang w:val="en-US" w:eastAsia="zh-CN"/>
        </w:rPr>
        <w:t>13</w:t>
      </w:r>
      <w:r>
        <w:rPr>
          <w:rFonts w:hint="eastAsia" w:ascii="Calibri" w:hAnsi="Calibri" w:eastAsia="宋体" w:cs="Times New Roman"/>
        </w:rPr>
        <w:t>%一票制）到厂价格，</w:t>
      </w:r>
      <w:r>
        <w:rPr>
          <w:rFonts w:hint="eastAsia" w:ascii="Calibri" w:hAnsi="Calibri" w:eastAsia="宋体" w:cs="Times New Roman"/>
          <w:lang w:val="en-US" w:eastAsia="zh-CN"/>
        </w:rPr>
        <w:t>含模具，含防锈漆，以上铸件以实际毛坯重量过磅为准</w:t>
      </w:r>
      <w:r>
        <w:rPr>
          <w:rFonts w:hint="eastAsia" w:ascii="Calibri" w:hAnsi="Calibri"/>
          <w:kern w:val="2"/>
          <w:sz w:val="21"/>
          <w:szCs w:val="24"/>
        </w:rPr>
        <w:t>。</w:t>
      </w:r>
    </w:p>
    <w:p>
      <w:pPr>
        <w:numPr>
          <w:ilvl w:val="0"/>
          <w:numId w:val="11"/>
        </w:numPr>
        <w:spacing w:line="360" w:lineRule="auto"/>
        <w:rPr>
          <w:rFonts w:hint="eastAsia"/>
          <w:lang w:val="en-US" w:eastAsia="zh-CN"/>
        </w:rPr>
      </w:pPr>
      <w:r>
        <w:rPr>
          <w:rFonts w:hint="eastAsia"/>
          <w:lang w:val="en-US" w:eastAsia="zh-CN"/>
        </w:rPr>
        <w:t>产品技术要求供方按需方图纸加工，要求粗加工部件如需进行二次退火零件，按图纸进行二次退火。粗加工精度要求平面尺寸单边余量小件2~3mm、大件2~5mm以内，粗加工精度要求外圆、内孔直径尺寸余量5mm以内，面漆按甲方颜色。</w:t>
      </w:r>
    </w:p>
    <w:p>
      <w:pPr>
        <w:numPr>
          <w:ilvl w:val="0"/>
          <w:numId w:val="11"/>
        </w:numPr>
        <w:spacing w:line="360" w:lineRule="auto"/>
        <w:rPr>
          <w:rFonts w:hint="eastAsia" w:ascii="宋体" w:hAnsi="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发货地址：</w:t>
      </w:r>
      <w:r>
        <w:rPr>
          <w:rFonts w:hint="eastAsia" w:ascii="宋体" w:hAnsi="宋体" w:cs="宋体"/>
          <w:color w:val="auto"/>
          <w:sz w:val="21"/>
          <w:szCs w:val="21"/>
          <w:highlight w:val="none"/>
          <w:lang w:val="en-US" w:eastAsia="zh-CN"/>
        </w:rPr>
        <w:t xml:space="preserve">福建省三明市沙县区金沙园开发区创新东路413号 王忠辉 13850877526  </w:t>
      </w:r>
    </w:p>
    <w:p>
      <w:pPr>
        <w:spacing w:line="360" w:lineRule="auto"/>
        <w:rPr>
          <w:rFonts w:hint="eastAsia" w:eastAsia="宋体"/>
          <w:lang w:eastAsia="zh-CN"/>
        </w:rPr>
      </w:pPr>
      <w:r>
        <w:rPr>
          <w:rFonts w:hint="eastAsia"/>
          <w:lang w:val="en-US" w:eastAsia="zh-CN"/>
        </w:rPr>
        <w:t>四</w:t>
      </w:r>
      <w:r>
        <w:rPr>
          <w:rFonts w:hint="eastAsia"/>
        </w:rPr>
        <w:t>、</w:t>
      </w:r>
      <w:r>
        <w:rPr>
          <w:rFonts w:hint="eastAsia"/>
          <w:lang w:val="en-US" w:eastAsia="zh-CN"/>
        </w:rPr>
        <w:t>交货</w:t>
      </w:r>
      <w:r>
        <w:rPr>
          <w:rFonts w:hint="eastAsia"/>
        </w:rPr>
        <w:t>验货：</w:t>
      </w:r>
      <w:r>
        <w:rPr>
          <w:rFonts w:hint="eastAsia"/>
          <w:lang w:val="en-US" w:eastAsia="zh-CN"/>
        </w:rPr>
        <w:t>收到预付款40天交货，发货时提供铸件的物理、化学成分等检测报告，</w:t>
      </w:r>
      <w:r>
        <w:rPr>
          <w:rFonts w:hint="eastAsia"/>
        </w:rPr>
        <w:t>到货1</w:t>
      </w:r>
      <w:r>
        <w:rPr>
          <w:rFonts w:hint="eastAsia"/>
          <w:lang w:val="en-US" w:eastAsia="zh-CN"/>
        </w:rPr>
        <w:t>5</w:t>
      </w:r>
      <w:r>
        <w:rPr>
          <w:rFonts w:hint="eastAsia"/>
        </w:rPr>
        <w:t>日内甲方验收，如有与图纸要求不符之处甲方免费返修，或双方协商一致由甲方自行修复，费用从乙方货款中扣除</w:t>
      </w:r>
      <w:r>
        <w:rPr>
          <w:rFonts w:hint="eastAsia"/>
          <w:lang w:eastAsia="zh-CN"/>
        </w:rPr>
        <w:t>。</w:t>
      </w:r>
    </w:p>
    <w:p>
      <w:pPr>
        <w:spacing w:line="360" w:lineRule="auto"/>
        <w:rPr>
          <w:rFonts w:hint="default" w:ascii="Times New Roman" w:hAnsi="Times New Roman" w:eastAsia="宋体" w:cs="Times New Roman"/>
          <w:lang w:val="en-US" w:eastAsia="zh-CN"/>
        </w:rPr>
      </w:pPr>
      <w:r>
        <w:rPr>
          <w:rFonts w:hint="eastAsia"/>
          <w:lang w:val="en-US" w:eastAsia="zh-CN"/>
        </w:rPr>
        <w:t>五</w:t>
      </w:r>
      <w:r>
        <w:rPr>
          <w:rFonts w:hint="eastAsia"/>
        </w:rPr>
        <w:t>、</w:t>
      </w:r>
      <w:r>
        <w:rPr>
          <w:rFonts w:hint="eastAsia"/>
          <w:lang w:val="en-US" w:eastAsia="zh-CN"/>
        </w:rPr>
        <w:t>价款支付</w:t>
      </w:r>
      <w:r>
        <w:rPr>
          <w:rFonts w:hint="eastAsia"/>
          <w:lang w:eastAsia="zh-CN"/>
        </w:rPr>
        <w:t>：</w:t>
      </w:r>
      <w:r>
        <w:rPr>
          <w:rFonts w:hint="eastAsia"/>
          <w:lang w:val="en-US" w:eastAsia="zh-CN"/>
        </w:rPr>
        <w:sym w:font="Wingdings 2" w:char="00A3"/>
      </w:r>
      <w:r>
        <w:rPr>
          <w:rFonts w:hint="eastAsia"/>
          <w:lang w:val="en-US" w:eastAsia="zh-CN"/>
        </w:rPr>
        <w:t>银行转账   □银行电子承兑。</w:t>
      </w:r>
      <w:r>
        <w:rPr>
          <w:rFonts w:hint="eastAsia" w:ascii="Times New Roman" w:hAnsi="Times New Roman" w:eastAsia="宋体" w:cs="Times New Roman"/>
          <w:lang w:val="en-US" w:eastAsia="zh-CN"/>
        </w:rPr>
        <w:t>预付**万，到货验收***</w:t>
      </w:r>
      <w:r>
        <w:rPr>
          <w:rFonts w:hint="eastAsia" w:ascii="Times New Roman" w:hAnsi="Times New Roman" w:eastAsia="宋体" w:cs="Times New Roman"/>
          <w:lang w:eastAsia="zh-CN"/>
        </w:rPr>
        <w:t>。</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六</w:t>
      </w:r>
      <w:r>
        <w:rPr>
          <w:rFonts w:hint="eastAsia" w:ascii="Times New Roman" w:hAnsi="Times New Roman" w:eastAsia="宋体" w:cs="Times New Roman"/>
        </w:rPr>
        <w:t>、争议解决方式：违约方承担守约方</w:t>
      </w:r>
      <w:r>
        <w:rPr>
          <w:rFonts w:hint="eastAsia" w:ascii="Times New Roman" w:hAnsi="Times New Roman" w:eastAsia="宋体" w:cs="Times New Roman"/>
          <w:lang w:val="en-US" w:eastAsia="zh-CN"/>
        </w:rPr>
        <w:t>的损失中还应</w:t>
      </w:r>
      <w:r>
        <w:rPr>
          <w:rFonts w:hint="eastAsia" w:ascii="Times New Roman" w:hAnsi="Times New Roman" w:eastAsia="宋体" w:cs="Times New Roman"/>
        </w:rPr>
        <w:t>包括但不限于律师费、诉讼费、保全费</w:t>
      </w:r>
      <w:r>
        <w:rPr>
          <w:rFonts w:hint="eastAsia" w:ascii="Times New Roman" w:hAnsi="Times New Roman" w:eastAsia="宋体" w:cs="Times New Roman"/>
          <w:lang w:val="en-US" w:eastAsia="zh-CN"/>
        </w:rPr>
        <w:t>及保险费</w:t>
      </w:r>
      <w:r>
        <w:rPr>
          <w:rFonts w:hint="eastAsia" w:ascii="Times New Roman" w:hAnsi="Times New Roman" w:eastAsia="宋体" w:cs="Times New Roman"/>
        </w:rPr>
        <w:t>、评估费等。本合同项下发生的争议，双方应</w:t>
      </w:r>
      <w:r>
        <w:rPr>
          <w:rFonts w:hint="eastAsia" w:ascii="Times New Roman" w:hAnsi="Times New Roman" w:eastAsia="宋体" w:cs="Times New Roman"/>
          <w:lang w:val="en-US" w:eastAsia="zh-CN"/>
        </w:rPr>
        <w:t>友好</w:t>
      </w:r>
      <w:r>
        <w:rPr>
          <w:rFonts w:hint="eastAsia" w:ascii="Times New Roman" w:hAnsi="Times New Roman" w:eastAsia="宋体" w:cs="Times New Roman"/>
        </w:rPr>
        <w:t>协商解决，协商不成</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由起诉方所在地人民法院管辖</w:t>
      </w:r>
      <w:r>
        <w:rPr>
          <w:rFonts w:hint="eastAsia" w:ascii="Times New Roman" w:hAnsi="Times New Roman" w:eastAsia="宋体" w:cs="Times New Roman"/>
        </w:rPr>
        <w:t>。</w:t>
      </w:r>
    </w:p>
    <w:p>
      <w:pPr>
        <w:spacing w:line="360" w:lineRule="auto"/>
        <w:rPr>
          <w:rFonts w:hint="eastAsia"/>
        </w:rPr>
      </w:pPr>
      <w:r>
        <w:rPr>
          <w:rFonts w:hint="eastAsia" w:ascii="Times New Roman" w:hAnsi="Times New Roman" w:eastAsia="宋体" w:cs="Times New Roman"/>
          <w:lang w:val="en-US" w:eastAsia="zh-CN"/>
        </w:rPr>
        <w:t>七</w:t>
      </w:r>
      <w:r>
        <w:rPr>
          <w:rFonts w:hint="eastAsia" w:ascii="Times New Roman" w:hAnsi="Times New Roman" w:eastAsia="宋体" w:cs="Times New Roman"/>
        </w:rPr>
        <w:t>、本合同一式两份，双方各执一份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具有同等法律效力</w:t>
      </w:r>
      <w:r>
        <w:rPr>
          <w:rFonts w:hint="eastAsia" w:ascii="Times New Roman" w:hAnsi="Times New Roman" w:eastAsia="宋体" w:cs="Times New Roman"/>
        </w:rPr>
        <w:t>。</w:t>
      </w:r>
      <w:r>
        <w:rPr>
          <w:rFonts w:hint="eastAsia" w:ascii="Times New Roman" w:hAnsi="Times New Roman" w:eastAsia="宋体" w:cs="Times New Roman"/>
          <w:lang w:val="en-US" w:eastAsia="zh-CN"/>
        </w:rPr>
        <w:t>扫描件、</w:t>
      </w:r>
      <w:r>
        <w:rPr>
          <w:rFonts w:hint="eastAsia" w:ascii="Times New Roman" w:hAnsi="Times New Roman" w:eastAsia="宋体" w:cs="Times New Roman"/>
        </w:rPr>
        <w:t>传真件有效</w:t>
      </w:r>
      <w:r>
        <w:rPr>
          <w:rFonts w:hint="eastAsia" w:ascii="Times New Roman" w:hAnsi="Times New Roman" w:eastAsia="宋体" w:cs="Times New Roman"/>
          <w:lang w:eastAsia="zh-CN"/>
        </w:rPr>
        <w:t>。</w:t>
      </w:r>
    </w:p>
    <w:p>
      <w:pPr>
        <w:spacing w:line="360" w:lineRule="auto"/>
        <w:rPr>
          <w:rFonts w:hint="eastAsia"/>
        </w:rPr>
      </w:pPr>
    </w:p>
    <w:p>
      <w:pPr>
        <w:spacing w:line="360" w:lineRule="auto"/>
      </w:pPr>
      <w:r>
        <w:rPr>
          <w:rFonts w:hint="eastAsia"/>
        </w:rPr>
        <w:t>供方：</w:t>
      </w:r>
      <w:r>
        <w:rPr>
          <w:rFonts w:hint="eastAsia"/>
          <w:lang w:val="en-US" w:eastAsia="zh-CN"/>
        </w:rPr>
        <w:t xml:space="preserve">嘉禾县宏盛制造有限公司          </w:t>
      </w:r>
      <w:r>
        <w:rPr>
          <w:rFonts w:hint="eastAsia"/>
        </w:rPr>
        <w:t xml:space="preserve">        需方：</w:t>
      </w:r>
      <w:r>
        <w:rPr>
          <w:rFonts w:hint="eastAsia"/>
          <w:lang w:val="en-US" w:eastAsia="zh-CN"/>
        </w:rPr>
        <w:t>中国机械总院集团海西（福建）分院有限公司</w:t>
      </w:r>
      <w:r>
        <w:rPr>
          <w:rFonts w:hint="eastAsia"/>
        </w:rPr>
        <w:t>地址：</w:t>
      </w:r>
      <w:r>
        <w:rPr>
          <w:rFonts w:hint="eastAsia"/>
          <w:lang w:val="en-US" w:eastAsia="zh-CN"/>
        </w:rPr>
        <w:t xml:space="preserve">                                     </w:t>
      </w:r>
      <w:r>
        <w:rPr>
          <w:rFonts w:hint="eastAsia"/>
        </w:rPr>
        <w:t xml:space="preserve">   地址：三明高新技术产业开发区金沙园                                                            </w:t>
      </w:r>
    </w:p>
    <w:p>
      <w:pPr>
        <w:spacing w:line="360" w:lineRule="auto"/>
        <w:rPr>
          <w:rFonts w:hint="default" w:eastAsia="宋体"/>
          <w:lang w:val="en-US" w:eastAsia="zh-CN"/>
        </w:rPr>
      </w:pPr>
      <w:r>
        <w:rPr>
          <w:rFonts w:hint="eastAsia"/>
        </w:rPr>
        <w:t>委托代理人签章 ：                             委托代理人签章：</w:t>
      </w: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20" w:name="_bookmark18"/>
    <w:bookmarkEnd w:id="20"/>
    <w:r>
      <w:drawing>
        <wp:inline distT="0" distB="0" distL="114300" distR="114300">
          <wp:extent cx="4069080" cy="438150"/>
          <wp:effectExtent l="0" t="0" r="0" b="0"/>
          <wp:docPr id="12" name="图片 12"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DB482"/>
    <w:multiLevelType w:val="singleLevel"/>
    <w:tmpl w:val="AB7DB482"/>
    <w:lvl w:ilvl="0" w:tentative="0">
      <w:start w:val="2"/>
      <w:numFmt w:val="chineseCounting"/>
      <w:suff w:val="nothing"/>
      <w:lvlText w:val="%1、"/>
      <w:lvlJc w:val="left"/>
      <w:rPr>
        <w:rFonts w:hint="eastAsia"/>
      </w:rPr>
    </w:lvl>
  </w:abstractNum>
  <w:abstractNum w:abstractNumId="1">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202D897"/>
    <w:multiLevelType w:val="singleLevel"/>
    <w:tmpl w:val="6202D897"/>
    <w:lvl w:ilvl="0" w:tentative="0">
      <w:start w:val="5"/>
      <w:numFmt w:val="chineseCounting"/>
      <w:suff w:val="nothing"/>
      <w:lvlText w:val="%1、"/>
      <w:lvlJc w:val="left"/>
      <w:rPr>
        <w:rFonts w:hint="eastAsia"/>
      </w:rPr>
    </w:lvl>
  </w:abstractNum>
  <w:abstractNum w:abstractNumId="8">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9">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8"/>
  </w:num>
  <w:num w:numId="4">
    <w:abstractNumId w:val="6"/>
  </w:num>
  <w:num w:numId="5">
    <w:abstractNumId w:val="9"/>
  </w:num>
  <w:num w:numId="6">
    <w:abstractNumId w:val="7"/>
  </w:num>
  <w:num w:numId="7">
    <w:abstractNumId w:val="10"/>
  </w:num>
  <w:num w:numId="8">
    <w:abstractNumId w:val="5"/>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NDMwMzdlMWE0MDQyMGFmMDZmNmJhYjQ0OTlkMjg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8E31B8A"/>
    <w:rsid w:val="11F23C90"/>
    <w:rsid w:val="13DD4624"/>
    <w:rsid w:val="1441006B"/>
    <w:rsid w:val="14DC7469"/>
    <w:rsid w:val="15BE749A"/>
    <w:rsid w:val="19416EE3"/>
    <w:rsid w:val="19E54C84"/>
    <w:rsid w:val="1A2B2E16"/>
    <w:rsid w:val="1CB72E06"/>
    <w:rsid w:val="1D406077"/>
    <w:rsid w:val="1FC00470"/>
    <w:rsid w:val="20C73955"/>
    <w:rsid w:val="21B97B04"/>
    <w:rsid w:val="21D25246"/>
    <w:rsid w:val="22345F2D"/>
    <w:rsid w:val="22F1792F"/>
    <w:rsid w:val="23C06ACA"/>
    <w:rsid w:val="28872C4F"/>
    <w:rsid w:val="29DE5491"/>
    <w:rsid w:val="2CD14227"/>
    <w:rsid w:val="3C9A0678"/>
    <w:rsid w:val="3DE83A67"/>
    <w:rsid w:val="47100713"/>
    <w:rsid w:val="474C1085"/>
    <w:rsid w:val="48B325A9"/>
    <w:rsid w:val="49203109"/>
    <w:rsid w:val="4ABB39CC"/>
    <w:rsid w:val="4B5E45B8"/>
    <w:rsid w:val="4BF71DFE"/>
    <w:rsid w:val="4C0E5B77"/>
    <w:rsid w:val="4DC57782"/>
    <w:rsid w:val="4DF810AC"/>
    <w:rsid w:val="50390222"/>
    <w:rsid w:val="53DA53DB"/>
    <w:rsid w:val="55CA11C1"/>
    <w:rsid w:val="5621082A"/>
    <w:rsid w:val="58324C4B"/>
    <w:rsid w:val="5A13454B"/>
    <w:rsid w:val="5D0C2D3D"/>
    <w:rsid w:val="5DC2080A"/>
    <w:rsid w:val="5FC078B7"/>
    <w:rsid w:val="65B23EF2"/>
    <w:rsid w:val="67FF3F88"/>
    <w:rsid w:val="69AB353C"/>
    <w:rsid w:val="6A6D4009"/>
    <w:rsid w:val="6C4A4810"/>
    <w:rsid w:val="73DA76D3"/>
    <w:rsid w:val="750A0CFF"/>
    <w:rsid w:val="78BC3AFB"/>
    <w:rsid w:val="78EE6CAC"/>
    <w:rsid w:val="79F214BE"/>
    <w:rsid w:val="7A7953A0"/>
    <w:rsid w:val="7C603C27"/>
    <w:rsid w:val="7EBD3628"/>
    <w:rsid w:val="7F030EC6"/>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style>
  <w:style w:type="paragraph" w:styleId="5">
    <w:name w:val="Body Text"/>
    <w:basedOn w:val="1"/>
    <w:qFormat/>
    <w:uiPriority w:val="1"/>
    <w:rPr>
      <w:rFonts w:ascii="宋体" w:hAnsi="宋体" w:eastAsia="宋体" w:cs="宋体"/>
      <w:sz w:val="24"/>
      <w:szCs w:val="24"/>
      <w:lang w:val="zh-CN" w:bidi="zh-CN"/>
    </w:rPr>
  </w:style>
  <w:style w:type="paragraph" w:styleId="6">
    <w:name w:val="toc 3"/>
    <w:basedOn w:val="1"/>
    <w:next w:val="1"/>
    <w:qFormat/>
    <w:uiPriority w:val="39"/>
    <w:pPr>
      <w:ind w:left="840" w:leftChars="400"/>
    </w:pPr>
  </w:style>
  <w:style w:type="paragraph" w:styleId="7">
    <w:name w:val="footer"/>
    <w:basedOn w:val="1"/>
    <w:qFormat/>
    <w:uiPriority w:val="0"/>
    <w:pPr>
      <w:tabs>
        <w:tab w:val="center" w:pos="4153"/>
        <w:tab w:val="right" w:pos="8306"/>
      </w:tabs>
    </w:pPr>
    <w:rPr>
      <w:sz w:val="18"/>
    </w:rPr>
  </w:style>
  <w:style w:type="paragraph" w:styleId="8">
    <w:name w:val="header"/>
    <w:basedOn w:val="1"/>
    <w:link w:val="26"/>
    <w:qFormat/>
    <w:uiPriority w:val="0"/>
    <w:pPr>
      <w:pBdr>
        <w:bottom w:val="single" w:color="auto" w:sz="6" w:space="1"/>
      </w:pBdr>
      <w:tabs>
        <w:tab w:val="center" w:pos="4153"/>
        <w:tab w:val="right" w:pos="8306"/>
      </w:tabs>
      <w:jc w:val="center"/>
    </w:pPr>
    <w:rPr>
      <w:sz w:val="18"/>
      <w:szCs w:val="18"/>
    </w:rPr>
  </w:style>
  <w:style w:type="paragraph" w:styleId="9">
    <w:name w:val="toc 1"/>
    <w:basedOn w:val="1"/>
    <w:next w:val="1"/>
    <w:qFormat/>
    <w:uiPriority w:val="39"/>
  </w:style>
  <w:style w:type="paragraph" w:styleId="10">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1">
    <w:name w:val="annotation subject"/>
    <w:basedOn w:val="4"/>
    <w:next w:val="4"/>
    <w:link w:val="22"/>
    <w:qFormat/>
    <w:uiPriority w:val="0"/>
    <w:rPr>
      <w:b/>
      <w:bCs/>
    </w:rPr>
  </w:style>
  <w:style w:type="character" w:styleId="14">
    <w:name w:val="Strong"/>
    <w:basedOn w:val="13"/>
    <w:qFormat/>
    <w:uiPriority w:val="22"/>
    <w:rPr>
      <w:b/>
      <w:b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qFormat/>
    <w:uiPriority w:val="0"/>
    <w:rPr>
      <w:sz w:val="21"/>
      <w:szCs w:val="21"/>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font01"/>
    <w:basedOn w:val="13"/>
    <w:qFormat/>
    <w:uiPriority w:val="0"/>
    <w:rPr>
      <w:rFonts w:hint="eastAsia" w:ascii="宋体" w:hAnsi="宋体" w:eastAsia="宋体" w:cs="宋体"/>
      <w:color w:val="000000"/>
      <w:sz w:val="24"/>
      <w:szCs w:val="24"/>
      <w:u w:val="none"/>
      <w:vertAlign w:val="superscript"/>
    </w:rPr>
  </w:style>
  <w:style w:type="paragraph" w:customStyle="1" w:styleId="19">
    <w:name w:val="报告正文"/>
    <w:basedOn w:val="1"/>
    <w:qFormat/>
    <w:uiPriority w:val="99"/>
    <w:pPr>
      <w:spacing w:line="360" w:lineRule="auto"/>
      <w:ind w:firstLine="560" w:firstLineChars="200"/>
    </w:pPr>
    <w:rPr>
      <w:sz w:val="28"/>
      <w:szCs w:val="28"/>
    </w:rPr>
  </w:style>
  <w:style w:type="paragraph" w:customStyle="1" w:styleId="20">
    <w:name w:val="WPSOffice手动目录 1"/>
    <w:qFormat/>
    <w:uiPriority w:val="0"/>
    <w:rPr>
      <w:rFonts w:ascii="Times New Roman" w:hAnsi="Times New Roman" w:eastAsia="宋体" w:cs="Times New Roman"/>
      <w:lang w:val="en-US" w:eastAsia="zh-CN" w:bidi="ar-SA"/>
    </w:rPr>
  </w:style>
  <w:style w:type="character" w:customStyle="1" w:styleId="21">
    <w:name w:val="批注文字 字符"/>
    <w:basedOn w:val="13"/>
    <w:link w:val="4"/>
    <w:qFormat/>
    <w:uiPriority w:val="0"/>
    <w:rPr>
      <w:rFonts w:ascii="Arial" w:hAnsi="Arial" w:eastAsia="Arial" w:cs="Arial"/>
      <w:snapToGrid w:val="0"/>
      <w:color w:val="000000"/>
      <w:sz w:val="21"/>
      <w:szCs w:val="21"/>
    </w:rPr>
  </w:style>
  <w:style w:type="character" w:customStyle="1" w:styleId="22">
    <w:name w:val="批注主题 字符"/>
    <w:basedOn w:val="21"/>
    <w:link w:val="11"/>
    <w:qFormat/>
    <w:uiPriority w:val="0"/>
    <w:rPr>
      <w:rFonts w:ascii="Arial" w:hAnsi="Arial" w:eastAsia="Arial" w:cs="Arial"/>
      <w:b/>
      <w:bCs/>
      <w:snapToGrid w:val="0"/>
      <w:color w:val="000000"/>
      <w:sz w:val="21"/>
      <w:szCs w:val="21"/>
    </w:rPr>
  </w:style>
  <w:style w:type="paragraph" w:styleId="23">
    <w:name w:val="List Paragraph"/>
    <w:basedOn w:val="1"/>
    <w:qFormat/>
    <w:uiPriority w:val="99"/>
    <w:pPr>
      <w:ind w:firstLine="420" w:firstLineChars="200"/>
    </w:pPr>
  </w:style>
  <w:style w:type="character" w:customStyle="1" w:styleId="24">
    <w:name w:val="标题 1 字符"/>
    <w:basedOn w:val="13"/>
    <w:link w:val="2"/>
    <w:qFormat/>
    <w:uiPriority w:val="0"/>
    <w:rPr>
      <w:rFonts w:ascii="Arial" w:hAnsi="Arial" w:eastAsia="Arial" w:cs="Arial"/>
      <w:b/>
      <w:bCs/>
      <w:snapToGrid w:val="0"/>
      <w:color w:val="000000"/>
      <w:kern w:val="44"/>
      <w:sz w:val="44"/>
      <w:szCs w:val="44"/>
    </w:rPr>
  </w:style>
  <w:style w:type="paragraph" w:customStyle="1" w:styleId="25">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26">
    <w:name w:val="页眉 字符"/>
    <w:basedOn w:val="13"/>
    <w:link w:val="8"/>
    <w:qFormat/>
    <w:uiPriority w:val="0"/>
    <w:rPr>
      <w:rFonts w:ascii="Arial" w:hAnsi="Arial" w:eastAsia="Arial" w:cs="Arial"/>
      <w:snapToGrid w:val="0"/>
      <w:color w:val="000000"/>
      <w:sz w:val="18"/>
      <w:szCs w:val="18"/>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1 Char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3513</Words>
  <Characters>4409</Characters>
  <Lines>28</Lines>
  <Paragraphs>7</Paragraphs>
  <TotalTime>18</TotalTime>
  <ScaleCrop>false</ScaleCrop>
  <LinksUpToDate>false</LinksUpToDate>
  <CharactersWithSpaces>5481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李东</cp:lastModifiedBy>
  <cp:lastPrinted>2023-10-09T06:50:00Z</cp:lastPrinted>
  <dcterms:modified xsi:type="dcterms:W3CDTF">2023-10-10T08:24:12Z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D07A51337E3340C28FADE7D1856D5E67_13</vt:lpwstr>
  </property>
</Properties>
</file>